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23BB3">
      <w:pPr>
        <w:pStyle w:val="7"/>
      </w:pPr>
      <w:bookmarkStart w:id="0" w:name="_Toc27772"/>
      <w:bookmarkEnd w:id="0"/>
      <w:bookmarkStart w:id="1" w:name="_Toc27348"/>
    </w:p>
    <w:p w14:paraId="0CE13EDA">
      <w:pPr>
        <w:spacing w:before="91" w:line="219" w:lineRule="auto"/>
        <w:ind w:left="684" w:leftChars="0" w:hanging="684" w:hangingChars="284"/>
        <w:jc w:val="center"/>
        <w:rPr>
          <w:rFonts w:asciiTheme="minorEastAsia" w:hAnsiTheme="minorEastAsia" w:eastAsiaTheme="minorEastAsia"/>
          <w:color w:val="000000"/>
          <w:sz w:val="24"/>
          <w:szCs w:val="24"/>
        </w:rPr>
      </w:pPr>
      <w:bookmarkStart w:id="18" w:name="_GoBack"/>
      <w:r>
        <w:rPr>
          <w:rFonts w:hint="eastAsia" w:asciiTheme="minorEastAsia" w:hAnsiTheme="minorEastAsia" w:eastAsiaTheme="minorEastAsia"/>
          <w:b/>
          <w:color w:val="000000"/>
          <w:sz w:val="24"/>
          <w:szCs w:val="24"/>
        </w:rPr>
        <w:t>安徽省食品药品检验研究院电梯维保服务比价采购公告</w:t>
      </w:r>
    </w:p>
    <w:bookmarkEnd w:id="18"/>
    <w:p w14:paraId="0ED5476C">
      <w:pPr>
        <w:spacing w:line="360" w:lineRule="auto"/>
        <w:outlineLvl w:val="1"/>
        <w:rPr>
          <w:rFonts w:cs="黑体" w:asciiTheme="minorEastAsia" w:hAnsiTheme="minorEastAsia" w:eastAsiaTheme="minorEastAsia"/>
          <w:color w:val="000000"/>
          <w:sz w:val="24"/>
          <w:szCs w:val="24"/>
          <w:lang w:bidi="ar"/>
        </w:rPr>
      </w:pPr>
      <w:bookmarkStart w:id="2" w:name="_Toc24842"/>
      <w:bookmarkStart w:id="3" w:name="_Toc4830"/>
      <w:r>
        <w:rPr>
          <w:rFonts w:hint="eastAsia" w:cs="黑体" w:asciiTheme="minorEastAsia" w:hAnsiTheme="minorEastAsia" w:eastAsiaTheme="minorEastAsia"/>
          <w:b/>
          <w:bCs/>
          <w:color w:val="000000"/>
          <w:sz w:val="24"/>
          <w:szCs w:val="24"/>
          <w:lang w:bidi="ar"/>
        </w:rPr>
        <w:t>一、项目基本情况</w:t>
      </w:r>
      <w:bookmarkEnd w:id="2"/>
      <w:bookmarkEnd w:id="3"/>
    </w:p>
    <w:p w14:paraId="3376B27C">
      <w:pPr>
        <w:spacing w:line="360" w:lineRule="auto"/>
        <w:rPr>
          <w:rFonts w:asciiTheme="minorEastAsia" w:hAnsiTheme="minorEastAsia" w:eastAsiaTheme="minorEastAsia"/>
          <w:color w:val="000000"/>
          <w:sz w:val="24"/>
          <w:szCs w:val="24"/>
        </w:rPr>
      </w:pPr>
      <w:r>
        <w:rPr>
          <w:rFonts w:cs="仿宋" w:asciiTheme="minorEastAsia" w:hAnsiTheme="minorEastAsia" w:eastAsiaTheme="minorEastAsia"/>
          <w:color w:val="000000"/>
          <w:sz w:val="24"/>
          <w:szCs w:val="24"/>
          <w:lang w:bidi="ar"/>
        </w:rPr>
        <w:t>项目名称：</w:t>
      </w:r>
      <w:r>
        <w:rPr>
          <w:rFonts w:hint="eastAsia" w:cs="仿宋" w:asciiTheme="minorEastAsia" w:hAnsiTheme="minorEastAsia" w:eastAsiaTheme="minorEastAsia"/>
          <w:color w:val="000000"/>
          <w:sz w:val="24"/>
          <w:szCs w:val="24"/>
          <w:lang w:bidi="ar"/>
        </w:rPr>
        <w:t>安徽省食品药品检验研究院电梯维保服务</w:t>
      </w:r>
    </w:p>
    <w:p w14:paraId="0A166F7A">
      <w:pPr>
        <w:autoSpaceDE w:val="0"/>
        <w:autoSpaceDN w:val="0"/>
        <w:spacing w:line="360" w:lineRule="auto"/>
        <w:jc w:val="left"/>
        <w:rPr>
          <w:rFonts w:cs="仿宋" w:asciiTheme="minorEastAsia" w:hAnsiTheme="minorEastAsia" w:eastAsiaTheme="minorEastAsia"/>
          <w:color w:val="000000"/>
          <w:sz w:val="24"/>
          <w:szCs w:val="24"/>
          <w:lang w:bidi="ar"/>
        </w:rPr>
      </w:pPr>
      <w:r>
        <w:rPr>
          <w:rFonts w:cs="仿宋" w:asciiTheme="minorEastAsia" w:hAnsiTheme="minorEastAsia" w:eastAsiaTheme="minorEastAsia"/>
          <w:color w:val="000000"/>
          <w:sz w:val="24"/>
          <w:szCs w:val="24"/>
          <w:lang w:bidi="ar"/>
        </w:rPr>
        <w:t>采购需求：</w:t>
      </w:r>
      <w:r>
        <w:rPr>
          <w:rFonts w:hint="eastAsia" w:cs="仿宋" w:asciiTheme="minorEastAsia" w:hAnsiTheme="minorEastAsia" w:eastAsiaTheme="minorEastAsia"/>
          <w:color w:val="000000"/>
          <w:sz w:val="24"/>
          <w:szCs w:val="24"/>
          <w:lang w:bidi="ar"/>
        </w:rPr>
        <w:t>本项目为安徽省食品药品检验研究院电梯维保服务采购，范围为黄山路实验办公楼1部电梯。</w:t>
      </w:r>
    </w:p>
    <w:p w14:paraId="5B02D0BC">
      <w:pPr>
        <w:spacing w:line="360" w:lineRule="auto"/>
        <w:jc w:val="left"/>
        <w:rPr>
          <w:rFonts w:cs="仿宋" w:asciiTheme="minorEastAsia" w:hAnsiTheme="minorEastAsia" w:eastAsiaTheme="minorEastAsia"/>
          <w:color w:val="000000"/>
          <w:sz w:val="24"/>
          <w:szCs w:val="24"/>
          <w:lang w:bidi="ar"/>
        </w:rPr>
      </w:pPr>
      <w:r>
        <w:rPr>
          <w:rFonts w:hint="eastAsia" w:cs="仿宋" w:asciiTheme="minorEastAsia" w:hAnsiTheme="minorEastAsia" w:eastAsiaTheme="minorEastAsia"/>
          <w:color w:val="000000"/>
          <w:sz w:val="24"/>
          <w:szCs w:val="24"/>
          <w:lang w:bidi="ar"/>
        </w:rPr>
        <w:t>合同履行</w:t>
      </w:r>
      <w:r>
        <w:rPr>
          <w:rFonts w:cs="仿宋" w:asciiTheme="minorEastAsia" w:hAnsiTheme="minorEastAsia" w:eastAsiaTheme="minorEastAsia"/>
          <w:color w:val="000000"/>
          <w:sz w:val="24"/>
          <w:szCs w:val="24"/>
          <w:lang w:bidi="ar"/>
        </w:rPr>
        <w:t>期限：</w:t>
      </w:r>
      <w:r>
        <w:rPr>
          <w:rFonts w:hint="eastAsia" w:cs="仿宋" w:asciiTheme="minorEastAsia" w:hAnsiTheme="minorEastAsia" w:eastAsiaTheme="minorEastAsia"/>
          <w:color w:val="000000"/>
          <w:sz w:val="24"/>
          <w:szCs w:val="24"/>
          <w:lang w:bidi="ar"/>
        </w:rPr>
        <w:t>合同签订后1年。合同到期后，如成交供应商履约良好，经考核合格，在双方均同意的前提下，可以续签下一年度合同，合同一年一签，最长续签两次。</w:t>
      </w:r>
    </w:p>
    <w:p w14:paraId="1BAA6906">
      <w:pPr>
        <w:spacing w:line="360" w:lineRule="auto"/>
        <w:outlineLvl w:val="1"/>
        <w:rPr>
          <w:rFonts w:cs="黑体" w:asciiTheme="minorEastAsia" w:hAnsiTheme="minorEastAsia" w:eastAsiaTheme="minorEastAsia"/>
          <w:b/>
          <w:bCs/>
          <w:color w:val="000000"/>
          <w:sz w:val="24"/>
          <w:szCs w:val="24"/>
          <w:lang w:bidi="ar"/>
        </w:rPr>
      </w:pPr>
      <w:bookmarkStart w:id="4" w:name="_Toc15314"/>
      <w:bookmarkStart w:id="5" w:name="_Toc15632"/>
      <w:r>
        <w:rPr>
          <w:rFonts w:hint="eastAsia" w:cs="黑体" w:asciiTheme="minorEastAsia" w:hAnsiTheme="minorEastAsia" w:eastAsiaTheme="minorEastAsia"/>
          <w:b/>
          <w:bCs/>
          <w:color w:val="000000"/>
          <w:sz w:val="24"/>
          <w:szCs w:val="24"/>
          <w:lang w:bidi="ar"/>
        </w:rPr>
        <w:t>二、申请人的资格要求</w:t>
      </w:r>
      <w:bookmarkEnd w:id="4"/>
      <w:bookmarkEnd w:id="5"/>
    </w:p>
    <w:p w14:paraId="64F4DC09">
      <w:pPr>
        <w:spacing w:line="360" w:lineRule="auto"/>
        <w:rPr>
          <w:rFonts w:cs="仿宋" w:asciiTheme="minorEastAsia" w:hAnsiTheme="minorEastAsia" w:eastAsiaTheme="minorEastAsia"/>
          <w:color w:val="000000"/>
          <w:sz w:val="24"/>
          <w:szCs w:val="24"/>
          <w:lang w:bidi="ar"/>
        </w:rPr>
      </w:pPr>
      <w:r>
        <w:rPr>
          <w:rFonts w:cs="仿宋" w:asciiTheme="minorEastAsia" w:hAnsiTheme="minorEastAsia" w:eastAsiaTheme="minorEastAsia"/>
          <w:color w:val="000000"/>
          <w:sz w:val="24"/>
          <w:szCs w:val="24"/>
          <w:lang w:bidi="ar"/>
        </w:rPr>
        <w:t>1.满足《中华人民共和国政府采购法》第二十二条规定；</w:t>
      </w:r>
    </w:p>
    <w:p w14:paraId="68EC04AF">
      <w:pPr>
        <w:spacing w:line="360" w:lineRule="auto"/>
        <w:rPr>
          <w:rFonts w:cs="仿宋" w:asciiTheme="minorEastAsia" w:hAnsiTheme="minorEastAsia" w:eastAsiaTheme="minorEastAsia"/>
          <w:color w:val="000000"/>
          <w:sz w:val="24"/>
          <w:szCs w:val="24"/>
          <w:lang w:bidi="ar"/>
        </w:rPr>
      </w:pPr>
      <w:r>
        <w:rPr>
          <w:rFonts w:cs="仿宋" w:asciiTheme="minorEastAsia" w:hAnsiTheme="minorEastAsia" w:eastAsiaTheme="minorEastAsia"/>
          <w:color w:val="000000"/>
          <w:sz w:val="24"/>
          <w:szCs w:val="24"/>
          <w:lang w:bidi="ar"/>
        </w:rPr>
        <w:t>2.落实政府采购政策需满足的资格要求：</w:t>
      </w:r>
      <w:r>
        <w:rPr>
          <w:rFonts w:hint="eastAsia" w:cs="仿宋" w:asciiTheme="minorEastAsia" w:hAnsiTheme="minorEastAsia" w:eastAsiaTheme="minorEastAsia"/>
          <w:color w:val="000000"/>
          <w:sz w:val="24"/>
          <w:szCs w:val="24"/>
          <w:lang w:bidi="ar"/>
        </w:rPr>
        <w:t>无；</w:t>
      </w:r>
    </w:p>
    <w:p w14:paraId="257A3BE3">
      <w:pPr>
        <w:spacing w:line="360" w:lineRule="auto"/>
        <w:rPr>
          <w:rFonts w:cs="仿宋" w:asciiTheme="minorEastAsia" w:hAnsiTheme="minorEastAsia" w:eastAsiaTheme="minorEastAsia"/>
          <w:color w:val="000000"/>
          <w:sz w:val="24"/>
          <w:szCs w:val="24"/>
          <w:lang w:bidi="ar"/>
        </w:rPr>
      </w:pPr>
      <w:r>
        <w:rPr>
          <w:rFonts w:cs="仿宋" w:asciiTheme="minorEastAsia" w:hAnsiTheme="minorEastAsia" w:eastAsiaTheme="minorEastAsia"/>
          <w:color w:val="000000"/>
          <w:sz w:val="24"/>
          <w:szCs w:val="24"/>
          <w:lang w:bidi="ar"/>
        </w:rPr>
        <w:t>3.本项目的特定资格要求</w:t>
      </w:r>
      <w:r>
        <w:rPr>
          <w:rFonts w:hint="eastAsia" w:cs="仿宋" w:asciiTheme="minorEastAsia" w:hAnsiTheme="minorEastAsia" w:eastAsiaTheme="minorEastAsia"/>
          <w:color w:val="000000"/>
          <w:sz w:val="24"/>
          <w:szCs w:val="24"/>
          <w:lang w:bidi="ar"/>
        </w:rPr>
        <w:t>：供应商具有有效的特种设备安装改造维修许可证资质（含曳引驱动乘客电梯）或有效的特种设备生产许可证（许可范围须包括安装及修理，子项目包含曳引驱动乘客电梯）。</w:t>
      </w:r>
    </w:p>
    <w:p w14:paraId="1EFAAD3F">
      <w:pPr>
        <w:spacing w:line="360" w:lineRule="auto"/>
        <w:rPr>
          <w:rFonts w:cs="仿宋" w:asciiTheme="minorEastAsia" w:hAnsiTheme="minorEastAsia" w:eastAsiaTheme="minorEastAsia"/>
          <w:color w:val="000000"/>
          <w:sz w:val="24"/>
          <w:szCs w:val="24"/>
          <w:lang w:bidi="ar"/>
        </w:rPr>
      </w:pPr>
    </w:p>
    <w:p w14:paraId="3BB596D2">
      <w:pPr>
        <w:spacing w:line="360" w:lineRule="auto"/>
        <w:rPr>
          <w:rFonts w:cs="仿宋" w:asciiTheme="minorEastAsia" w:hAnsiTheme="minorEastAsia" w:eastAsiaTheme="minorEastAsia"/>
          <w:color w:val="000000"/>
          <w:sz w:val="24"/>
          <w:szCs w:val="24"/>
          <w:lang w:bidi="ar"/>
        </w:rPr>
      </w:pPr>
    </w:p>
    <w:p w14:paraId="601975D0">
      <w:pPr>
        <w:spacing w:line="360" w:lineRule="auto"/>
        <w:rPr>
          <w:rFonts w:cs="仿宋" w:asciiTheme="minorEastAsia" w:hAnsiTheme="minorEastAsia" w:eastAsiaTheme="minorEastAsia"/>
          <w:color w:val="000000"/>
          <w:sz w:val="24"/>
          <w:szCs w:val="24"/>
          <w:lang w:bidi="ar"/>
        </w:rPr>
      </w:pPr>
    </w:p>
    <w:p w14:paraId="6FCBEEF3">
      <w:pPr>
        <w:spacing w:line="360" w:lineRule="auto"/>
        <w:rPr>
          <w:rFonts w:cs="仿宋" w:asciiTheme="minorEastAsia" w:hAnsiTheme="minorEastAsia" w:eastAsiaTheme="minorEastAsia"/>
          <w:color w:val="000000"/>
          <w:sz w:val="24"/>
          <w:szCs w:val="24"/>
          <w:lang w:bidi="ar"/>
        </w:rPr>
      </w:pPr>
    </w:p>
    <w:p w14:paraId="56C0F331">
      <w:pPr>
        <w:spacing w:line="360" w:lineRule="auto"/>
        <w:rPr>
          <w:rFonts w:cs="仿宋" w:asciiTheme="minorEastAsia" w:hAnsiTheme="minorEastAsia" w:eastAsiaTheme="minorEastAsia"/>
          <w:color w:val="000000"/>
          <w:sz w:val="24"/>
          <w:szCs w:val="24"/>
          <w:lang w:bidi="ar"/>
        </w:rPr>
      </w:pPr>
    </w:p>
    <w:p w14:paraId="4A595E86">
      <w:pPr>
        <w:spacing w:line="360" w:lineRule="auto"/>
        <w:rPr>
          <w:rFonts w:cs="仿宋" w:asciiTheme="minorEastAsia" w:hAnsiTheme="minorEastAsia" w:eastAsiaTheme="minorEastAsia"/>
          <w:color w:val="000000"/>
          <w:sz w:val="24"/>
          <w:szCs w:val="24"/>
          <w:lang w:bidi="ar"/>
        </w:rPr>
      </w:pPr>
    </w:p>
    <w:p w14:paraId="460A70B4">
      <w:pPr>
        <w:spacing w:line="360" w:lineRule="auto"/>
        <w:rPr>
          <w:rFonts w:cs="仿宋" w:asciiTheme="minorEastAsia" w:hAnsiTheme="minorEastAsia" w:eastAsiaTheme="minorEastAsia"/>
          <w:color w:val="000000"/>
          <w:sz w:val="24"/>
          <w:szCs w:val="24"/>
          <w:lang w:bidi="ar"/>
        </w:rPr>
      </w:pPr>
    </w:p>
    <w:p w14:paraId="7AD4D210">
      <w:pPr>
        <w:spacing w:line="360" w:lineRule="auto"/>
        <w:rPr>
          <w:rFonts w:cs="仿宋" w:asciiTheme="minorEastAsia" w:hAnsiTheme="minorEastAsia" w:eastAsiaTheme="minorEastAsia"/>
          <w:color w:val="000000"/>
          <w:sz w:val="24"/>
          <w:szCs w:val="24"/>
          <w:lang w:bidi="ar"/>
        </w:rPr>
      </w:pPr>
    </w:p>
    <w:p w14:paraId="04521755">
      <w:pPr>
        <w:spacing w:line="360" w:lineRule="auto"/>
        <w:rPr>
          <w:rFonts w:cs="仿宋" w:asciiTheme="minorEastAsia" w:hAnsiTheme="minorEastAsia" w:eastAsiaTheme="minorEastAsia"/>
          <w:color w:val="000000"/>
          <w:sz w:val="24"/>
          <w:szCs w:val="24"/>
          <w:lang w:bidi="ar"/>
        </w:rPr>
      </w:pPr>
    </w:p>
    <w:p w14:paraId="2546B151">
      <w:pPr>
        <w:spacing w:line="360" w:lineRule="auto"/>
        <w:rPr>
          <w:rFonts w:cs="仿宋" w:asciiTheme="minorEastAsia" w:hAnsiTheme="minorEastAsia" w:eastAsiaTheme="minorEastAsia"/>
          <w:color w:val="000000"/>
          <w:sz w:val="24"/>
          <w:szCs w:val="24"/>
          <w:lang w:bidi="ar"/>
        </w:rPr>
      </w:pPr>
    </w:p>
    <w:p w14:paraId="30E175C7">
      <w:pPr>
        <w:spacing w:line="360" w:lineRule="auto"/>
        <w:rPr>
          <w:rFonts w:cs="仿宋" w:asciiTheme="minorEastAsia" w:hAnsiTheme="minorEastAsia" w:eastAsiaTheme="minorEastAsia"/>
          <w:color w:val="000000"/>
          <w:sz w:val="24"/>
          <w:szCs w:val="24"/>
          <w:lang w:bidi="ar"/>
        </w:rPr>
      </w:pPr>
    </w:p>
    <w:p w14:paraId="4414CE1B">
      <w:pPr>
        <w:spacing w:line="360" w:lineRule="auto"/>
        <w:rPr>
          <w:rFonts w:cs="仿宋" w:asciiTheme="minorEastAsia" w:hAnsiTheme="minorEastAsia" w:eastAsiaTheme="minorEastAsia"/>
          <w:color w:val="000000"/>
          <w:sz w:val="24"/>
          <w:szCs w:val="24"/>
          <w:lang w:bidi="ar"/>
        </w:rPr>
      </w:pPr>
    </w:p>
    <w:p w14:paraId="56897BAE">
      <w:pPr>
        <w:pStyle w:val="7"/>
        <w:rPr>
          <w:rFonts w:hint="eastAsia"/>
        </w:rPr>
      </w:pPr>
    </w:p>
    <w:p w14:paraId="6A1CE12E">
      <w:pPr>
        <w:pStyle w:val="7"/>
      </w:pPr>
      <w:r>
        <w:rPr>
          <w:rFonts w:hint="eastAsia"/>
        </w:rPr>
        <w:t>采购需求</w:t>
      </w:r>
      <w:bookmarkEnd w:id="1"/>
    </w:p>
    <w:p w14:paraId="7AA706A5">
      <w:pPr>
        <w:numPr>
          <w:ilvl w:val="0"/>
          <w:numId w:val="1"/>
        </w:numPr>
        <w:spacing w:line="360" w:lineRule="auto"/>
        <w:ind w:firstLine="437"/>
        <w:outlineLvl w:val="1"/>
        <w:rPr>
          <w:rFonts w:ascii="宋体" w:hAnsi="宋体" w:eastAsia="宋体"/>
          <w:b/>
          <w:color w:val="000000"/>
          <w:sz w:val="24"/>
          <w:szCs w:val="18"/>
        </w:rPr>
      </w:pPr>
      <w:r>
        <w:rPr>
          <w:rFonts w:hint="eastAsia" w:ascii="宋体" w:hAnsi="宋体" w:eastAsia="宋体"/>
          <w:b/>
          <w:color w:val="000000"/>
          <w:sz w:val="24"/>
          <w:szCs w:val="18"/>
        </w:rPr>
        <w:t>采购需求前附表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524"/>
        <w:gridCol w:w="5248"/>
      </w:tblGrid>
      <w:tr w14:paraId="0E0A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shd w:val="clear" w:color="auto" w:fill="auto"/>
            <w:vAlign w:val="center"/>
          </w:tcPr>
          <w:p w14:paraId="7DC8A1FC">
            <w:pPr>
              <w:jc w:val="center"/>
              <w:rPr>
                <w:rFonts w:ascii="宋体" w:hAnsi="宋体" w:eastAsia="宋体" w:cs="宋体"/>
                <w:b/>
                <w:color w:val="000000"/>
                <w:sz w:val="24"/>
                <w:szCs w:val="24"/>
              </w:rPr>
            </w:pPr>
            <w:r>
              <w:rPr>
                <w:rFonts w:hint="eastAsia" w:ascii="宋体" w:hAnsi="宋体" w:eastAsia="宋体" w:cs="宋体"/>
                <w:b/>
                <w:color w:val="000000"/>
                <w:sz w:val="24"/>
                <w:szCs w:val="24"/>
              </w:rPr>
              <w:t>序号</w:t>
            </w:r>
          </w:p>
        </w:tc>
        <w:tc>
          <w:tcPr>
            <w:tcW w:w="2524" w:type="dxa"/>
            <w:shd w:val="clear" w:color="auto" w:fill="auto"/>
            <w:vAlign w:val="center"/>
          </w:tcPr>
          <w:p w14:paraId="2E7DC74E">
            <w:pPr>
              <w:jc w:val="center"/>
              <w:rPr>
                <w:rFonts w:ascii="宋体" w:hAnsi="宋体" w:eastAsia="宋体" w:cs="宋体"/>
                <w:b/>
                <w:color w:val="000000"/>
                <w:sz w:val="24"/>
                <w:szCs w:val="24"/>
              </w:rPr>
            </w:pPr>
            <w:r>
              <w:rPr>
                <w:rFonts w:hint="eastAsia" w:ascii="宋体" w:hAnsi="宋体" w:eastAsia="宋体" w:cs="宋体"/>
                <w:b/>
                <w:color w:val="000000"/>
                <w:sz w:val="24"/>
                <w:szCs w:val="24"/>
              </w:rPr>
              <w:t>条款名称</w:t>
            </w:r>
          </w:p>
        </w:tc>
        <w:tc>
          <w:tcPr>
            <w:tcW w:w="5248" w:type="dxa"/>
            <w:shd w:val="clear" w:color="auto" w:fill="auto"/>
            <w:vAlign w:val="center"/>
          </w:tcPr>
          <w:p w14:paraId="4507EC69">
            <w:pPr>
              <w:jc w:val="center"/>
              <w:rPr>
                <w:rFonts w:ascii="宋体" w:hAnsi="宋体" w:eastAsia="宋体" w:cs="宋体"/>
                <w:b/>
                <w:color w:val="000000"/>
                <w:sz w:val="24"/>
                <w:szCs w:val="24"/>
              </w:rPr>
            </w:pPr>
            <w:r>
              <w:rPr>
                <w:rFonts w:hint="eastAsia" w:ascii="宋体" w:hAnsi="宋体" w:eastAsia="宋体" w:cs="宋体"/>
                <w:b/>
                <w:color w:val="000000"/>
                <w:sz w:val="24"/>
                <w:szCs w:val="24"/>
              </w:rPr>
              <w:t>内容、说明与要求</w:t>
            </w:r>
          </w:p>
        </w:tc>
      </w:tr>
      <w:tr w14:paraId="3CAA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shd w:val="clear" w:color="auto" w:fill="auto"/>
            <w:vAlign w:val="center"/>
          </w:tcPr>
          <w:p w14:paraId="50B2F4A7">
            <w:pPr>
              <w:jc w:val="center"/>
              <w:rPr>
                <w:rFonts w:ascii="宋体" w:hAnsi="宋体" w:eastAsia="宋体" w:cs="宋体"/>
                <w:bCs/>
                <w:color w:val="000000"/>
                <w:sz w:val="24"/>
                <w:szCs w:val="24"/>
              </w:rPr>
            </w:pPr>
            <w:r>
              <w:rPr>
                <w:rFonts w:hint="eastAsia" w:ascii="宋体" w:hAnsi="宋体" w:eastAsia="宋体" w:cs="宋体"/>
                <w:bCs/>
                <w:color w:val="000000"/>
                <w:sz w:val="24"/>
                <w:szCs w:val="24"/>
              </w:rPr>
              <w:t>1</w:t>
            </w:r>
          </w:p>
        </w:tc>
        <w:tc>
          <w:tcPr>
            <w:tcW w:w="2524" w:type="dxa"/>
            <w:shd w:val="clear" w:color="auto" w:fill="auto"/>
            <w:vAlign w:val="center"/>
          </w:tcPr>
          <w:p w14:paraId="201D8308">
            <w:pPr>
              <w:jc w:val="center"/>
              <w:rPr>
                <w:rFonts w:ascii="宋体" w:hAnsi="宋体" w:eastAsia="宋体" w:cs="宋体"/>
                <w:bCs/>
                <w:color w:val="000000"/>
                <w:sz w:val="24"/>
                <w:szCs w:val="24"/>
              </w:rPr>
            </w:pPr>
            <w:r>
              <w:rPr>
                <w:rFonts w:hint="eastAsia" w:ascii="宋体" w:hAnsi="宋体" w:eastAsia="宋体" w:cs="宋体"/>
                <w:bCs/>
                <w:color w:val="000000"/>
                <w:sz w:val="24"/>
                <w:szCs w:val="24"/>
              </w:rPr>
              <w:t>付款方式</w:t>
            </w:r>
          </w:p>
        </w:tc>
        <w:tc>
          <w:tcPr>
            <w:tcW w:w="5248" w:type="dxa"/>
            <w:shd w:val="clear" w:color="auto" w:fill="auto"/>
            <w:vAlign w:val="center"/>
          </w:tcPr>
          <w:p w14:paraId="68D9BA5A">
            <w:pPr>
              <w:rPr>
                <w:rFonts w:ascii="宋体" w:hAnsi="宋体" w:eastAsia="宋体" w:cs="宋体"/>
                <w:bCs/>
                <w:color w:val="000000"/>
                <w:sz w:val="24"/>
                <w:szCs w:val="24"/>
              </w:rPr>
            </w:pPr>
            <w:r>
              <w:rPr>
                <w:rFonts w:hint="eastAsia" w:ascii="宋体" w:hAnsi="宋体" w:eastAsia="宋体" w:cs="宋体"/>
                <w:bCs/>
                <w:color w:val="000000"/>
                <w:sz w:val="24"/>
                <w:szCs w:val="24"/>
              </w:rPr>
              <w:t>服务期内每半年支付一次。</w:t>
            </w:r>
          </w:p>
        </w:tc>
      </w:tr>
      <w:tr w14:paraId="5548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shd w:val="clear" w:color="auto" w:fill="auto"/>
            <w:vAlign w:val="center"/>
          </w:tcPr>
          <w:p w14:paraId="1BF8F89C">
            <w:pPr>
              <w:jc w:val="center"/>
              <w:rPr>
                <w:rFonts w:ascii="宋体" w:hAnsi="宋体" w:eastAsia="宋体" w:cs="宋体"/>
                <w:bCs/>
                <w:color w:val="000000"/>
                <w:sz w:val="24"/>
                <w:szCs w:val="24"/>
              </w:rPr>
            </w:pPr>
            <w:r>
              <w:rPr>
                <w:rFonts w:hint="eastAsia" w:ascii="宋体" w:hAnsi="宋体" w:eastAsia="宋体" w:cs="宋体"/>
                <w:bCs/>
                <w:color w:val="000000"/>
                <w:sz w:val="24"/>
                <w:szCs w:val="24"/>
              </w:rPr>
              <w:t>2</w:t>
            </w:r>
          </w:p>
        </w:tc>
        <w:tc>
          <w:tcPr>
            <w:tcW w:w="2524" w:type="dxa"/>
            <w:shd w:val="clear" w:color="auto" w:fill="auto"/>
            <w:vAlign w:val="center"/>
          </w:tcPr>
          <w:p w14:paraId="26CE7FE9">
            <w:pPr>
              <w:jc w:val="center"/>
              <w:rPr>
                <w:rFonts w:ascii="宋体" w:hAnsi="宋体" w:eastAsia="宋体" w:cs="宋体"/>
                <w:bCs/>
                <w:color w:val="000000"/>
                <w:sz w:val="24"/>
                <w:szCs w:val="24"/>
              </w:rPr>
            </w:pPr>
            <w:r>
              <w:rPr>
                <w:rFonts w:hint="eastAsia" w:ascii="宋体" w:hAnsi="宋体" w:eastAsia="宋体" w:cs="宋体"/>
                <w:bCs/>
                <w:color w:val="000000"/>
                <w:sz w:val="24"/>
                <w:szCs w:val="24"/>
              </w:rPr>
              <w:t>服务地点</w:t>
            </w:r>
          </w:p>
        </w:tc>
        <w:tc>
          <w:tcPr>
            <w:tcW w:w="5248" w:type="dxa"/>
            <w:shd w:val="clear" w:color="auto" w:fill="auto"/>
            <w:vAlign w:val="center"/>
          </w:tcPr>
          <w:p w14:paraId="37806DD5">
            <w:pPr>
              <w:rPr>
                <w:rFonts w:ascii="宋体" w:hAnsi="宋体" w:eastAsia="宋体" w:cs="宋体"/>
                <w:bCs/>
                <w:color w:val="000000"/>
                <w:sz w:val="24"/>
                <w:szCs w:val="24"/>
              </w:rPr>
            </w:pPr>
            <w:r>
              <w:rPr>
                <w:rFonts w:hint="eastAsia" w:ascii="宋体" w:hAnsi="宋体" w:eastAsia="宋体" w:cs="宋体"/>
                <w:bCs/>
                <w:color w:val="000000"/>
                <w:sz w:val="24"/>
                <w:szCs w:val="24"/>
              </w:rPr>
              <w:t>安徽省食品药品检验研究院，采购人指定地点</w:t>
            </w:r>
          </w:p>
        </w:tc>
      </w:tr>
      <w:tr w14:paraId="5B66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750" w:type="dxa"/>
            <w:shd w:val="clear" w:color="auto" w:fill="auto"/>
            <w:vAlign w:val="center"/>
          </w:tcPr>
          <w:p w14:paraId="358471D5">
            <w:pPr>
              <w:jc w:val="center"/>
              <w:rPr>
                <w:rFonts w:ascii="宋体" w:hAnsi="宋体" w:eastAsia="宋体" w:cs="宋体"/>
                <w:bCs/>
                <w:color w:val="000000"/>
                <w:sz w:val="24"/>
                <w:szCs w:val="24"/>
              </w:rPr>
            </w:pPr>
            <w:r>
              <w:rPr>
                <w:rFonts w:hint="eastAsia" w:ascii="宋体" w:hAnsi="宋体" w:eastAsia="宋体" w:cs="宋体"/>
                <w:bCs/>
                <w:color w:val="000000"/>
                <w:sz w:val="24"/>
                <w:szCs w:val="24"/>
              </w:rPr>
              <w:t>3</w:t>
            </w:r>
          </w:p>
        </w:tc>
        <w:tc>
          <w:tcPr>
            <w:tcW w:w="2524" w:type="dxa"/>
            <w:shd w:val="clear" w:color="auto" w:fill="auto"/>
            <w:vAlign w:val="center"/>
          </w:tcPr>
          <w:p w14:paraId="26DF398C">
            <w:pPr>
              <w:jc w:val="center"/>
              <w:rPr>
                <w:rFonts w:ascii="宋体" w:hAnsi="宋体" w:eastAsia="宋体" w:cs="宋体"/>
                <w:bCs/>
                <w:color w:val="000000"/>
                <w:sz w:val="24"/>
                <w:szCs w:val="24"/>
              </w:rPr>
            </w:pPr>
            <w:r>
              <w:rPr>
                <w:rFonts w:hint="eastAsia" w:ascii="宋体" w:hAnsi="宋体" w:eastAsia="宋体" w:cs="宋体"/>
                <w:bCs/>
                <w:color w:val="000000"/>
                <w:sz w:val="24"/>
                <w:szCs w:val="24"/>
              </w:rPr>
              <w:t>服务期限</w:t>
            </w:r>
          </w:p>
        </w:tc>
        <w:tc>
          <w:tcPr>
            <w:tcW w:w="5248" w:type="dxa"/>
            <w:shd w:val="clear" w:color="auto" w:fill="auto"/>
            <w:vAlign w:val="center"/>
          </w:tcPr>
          <w:p w14:paraId="6AE0FD16">
            <w:pPr>
              <w:jc w:val="left"/>
              <w:rPr>
                <w:rFonts w:ascii="宋体" w:hAnsi="宋体" w:eastAsia="宋体" w:cs="宋体"/>
                <w:bCs/>
                <w:color w:val="000000"/>
                <w:sz w:val="24"/>
                <w:szCs w:val="24"/>
              </w:rPr>
            </w:pPr>
            <w:r>
              <w:rPr>
                <w:rFonts w:hint="eastAsia" w:ascii="宋体" w:hAnsi="宋体" w:eastAsia="宋体" w:cs="宋体"/>
                <w:bCs/>
                <w:color w:val="000000"/>
                <w:sz w:val="24"/>
                <w:szCs w:val="24"/>
              </w:rPr>
              <w:t>合同签订后 1 年。合同到期后，如成交供应商履约良好，经考核合格，在双方均同意的前提下，可以续签下一年度合同，合同一年一签，最长续签两次。</w:t>
            </w:r>
          </w:p>
        </w:tc>
      </w:tr>
      <w:tr w14:paraId="18E6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50" w:type="dxa"/>
            <w:shd w:val="clear" w:color="auto" w:fill="auto"/>
            <w:vAlign w:val="center"/>
          </w:tcPr>
          <w:p w14:paraId="1D1B9BD1">
            <w:pPr>
              <w:jc w:val="center"/>
              <w:rPr>
                <w:rFonts w:ascii="宋体" w:hAnsi="宋体" w:eastAsia="宋体" w:cs="宋体"/>
                <w:bCs/>
                <w:color w:val="000000"/>
                <w:sz w:val="24"/>
                <w:szCs w:val="24"/>
              </w:rPr>
            </w:pPr>
            <w:bookmarkStart w:id="6" w:name="_Toc17580"/>
            <w:bookmarkStart w:id="7" w:name="_Toc29814"/>
            <w:r>
              <w:rPr>
                <w:rFonts w:hint="eastAsia" w:ascii="宋体" w:hAnsi="宋体" w:eastAsia="宋体" w:cs="宋体"/>
                <w:bCs/>
                <w:color w:val="000000"/>
                <w:sz w:val="24"/>
                <w:szCs w:val="24"/>
              </w:rPr>
              <w:t>4</w:t>
            </w:r>
          </w:p>
        </w:tc>
        <w:tc>
          <w:tcPr>
            <w:tcW w:w="2524" w:type="dxa"/>
            <w:shd w:val="clear" w:color="auto" w:fill="auto"/>
            <w:vAlign w:val="center"/>
          </w:tcPr>
          <w:p w14:paraId="532C028C">
            <w:pPr>
              <w:jc w:val="center"/>
              <w:rPr>
                <w:rFonts w:ascii="宋体" w:hAnsi="宋体" w:eastAsia="宋体" w:cs="宋体"/>
                <w:bCs/>
                <w:color w:val="000000"/>
                <w:sz w:val="24"/>
                <w:szCs w:val="24"/>
              </w:rPr>
            </w:pPr>
            <w:r>
              <w:rPr>
                <w:rFonts w:hint="eastAsia" w:ascii="宋体" w:hAnsi="宋体" w:eastAsia="宋体" w:cs="宋体"/>
                <w:bCs/>
                <w:color w:val="000000"/>
                <w:sz w:val="24"/>
                <w:szCs w:val="24"/>
              </w:rPr>
              <w:t>本项目采购标的名称及所属行业</w:t>
            </w:r>
          </w:p>
        </w:tc>
        <w:tc>
          <w:tcPr>
            <w:tcW w:w="5248" w:type="dxa"/>
            <w:shd w:val="clear" w:color="auto" w:fill="auto"/>
            <w:vAlign w:val="center"/>
          </w:tcPr>
          <w:p w14:paraId="4D1F23D3">
            <w:pPr>
              <w:rPr>
                <w:rFonts w:ascii="宋体" w:hAnsi="宋体" w:eastAsia="宋体" w:cs="宋体"/>
                <w:bCs/>
                <w:color w:val="000000"/>
                <w:sz w:val="24"/>
                <w:szCs w:val="24"/>
              </w:rPr>
            </w:pPr>
            <w:r>
              <w:rPr>
                <w:rFonts w:hint="eastAsia" w:ascii="宋体" w:hAnsi="宋体" w:eastAsia="宋体" w:cs="宋体"/>
                <w:bCs/>
                <w:color w:val="000000"/>
                <w:sz w:val="24"/>
                <w:szCs w:val="24"/>
              </w:rPr>
              <w:t>标的名称：安徽省食品药品检验研究院电梯维保服务</w:t>
            </w:r>
          </w:p>
          <w:p w14:paraId="03534B45">
            <w:pPr>
              <w:rPr>
                <w:rFonts w:ascii="宋体" w:hAnsi="宋体" w:eastAsia="宋体" w:cs="宋体"/>
                <w:bCs/>
                <w:color w:val="000000"/>
                <w:sz w:val="24"/>
                <w:szCs w:val="24"/>
              </w:rPr>
            </w:pPr>
            <w:r>
              <w:rPr>
                <w:rFonts w:hint="eastAsia" w:ascii="宋体" w:hAnsi="宋体" w:eastAsia="宋体" w:cs="宋体"/>
                <w:bCs/>
                <w:color w:val="000000"/>
                <w:sz w:val="24"/>
                <w:szCs w:val="24"/>
              </w:rPr>
              <w:t>所属行业：工业</w:t>
            </w:r>
          </w:p>
        </w:tc>
      </w:tr>
    </w:tbl>
    <w:p w14:paraId="0780B868">
      <w:pPr>
        <w:spacing w:line="360" w:lineRule="auto"/>
        <w:outlineLvl w:val="1"/>
        <w:rPr>
          <w:rFonts w:ascii="宋体" w:hAnsi="宋体" w:eastAsia="宋体"/>
          <w:color w:val="000000"/>
          <w:sz w:val="24"/>
          <w:szCs w:val="18"/>
        </w:rPr>
      </w:pPr>
      <w:r>
        <w:rPr>
          <w:rFonts w:hint="eastAsia" w:ascii="宋体" w:hAnsi="宋体" w:eastAsia="宋体"/>
          <w:color w:val="000000"/>
          <w:sz w:val="24"/>
          <w:szCs w:val="18"/>
        </w:rPr>
        <w:t>二、项目</w:t>
      </w:r>
      <w:bookmarkEnd w:id="6"/>
      <w:bookmarkEnd w:id="7"/>
      <w:r>
        <w:rPr>
          <w:rFonts w:hint="eastAsia" w:ascii="宋体" w:hAnsi="宋体" w:eastAsia="宋体"/>
          <w:color w:val="000000"/>
          <w:sz w:val="24"/>
          <w:szCs w:val="18"/>
        </w:rPr>
        <w:t>基本情况</w:t>
      </w:r>
    </w:p>
    <w:p w14:paraId="358612A2">
      <w:pPr>
        <w:spacing w:line="360" w:lineRule="auto"/>
        <w:rPr>
          <w:rFonts w:ascii="宋体" w:hAnsi="宋体" w:eastAsia="宋体" w:cs="宋体"/>
          <w:color w:val="000000"/>
          <w:kern w:val="0"/>
          <w:sz w:val="24"/>
          <w:szCs w:val="24"/>
          <w:lang w:bidi="ar"/>
        </w:rPr>
      </w:pPr>
      <w:bookmarkStart w:id="8" w:name="_Toc17817"/>
      <w:bookmarkStart w:id="9" w:name="_Toc8155"/>
      <w:r>
        <w:rPr>
          <w:rFonts w:hint="eastAsia" w:ascii="宋体" w:hAnsi="宋体" w:eastAsia="宋体" w:cs="宋体"/>
          <w:color w:val="000000"/>
          <w:kern w:val="0"/>
          <w:sz w:val="24"/>
          <w:szCs w:val="24"/>
          <w:lang w:bidi="ar"/>
        </w:rPr>
        <w:t>拟选择一家成交供应商，为采购人提供电梯维保服务（清包），范围为黄山路实验办公楼1部电梯。</w:t>
      </w:r>
    </w:p>
    <w:p w14:paraId="5E99D5BB">
      <w:pPr>
        <w:spacing w:line="360" w:lineRule="auto"/>
        <w:outlineLvl w:val="1"/>
        <w:rPr>
          <w:rFonts w:ascii="宋体" w:hAnsi="宋体" w:eastAsia="宋体"/>
          <w:color w:val="000000"/>
          <w:sz w:val="24"/>
          <w:szCs w:val="18"/>
        </w:rPr>
      </w:pPr>
      <w:r>
        <w:rPr>
          <w:rFonts w:hint="eastAsia" w:ascii="宋体" w:hAnsi="宋体" w:eastAsia="宋体"/>
          <w:color w:val="000000"/>
          <w:sz w:val="24"/>
          <w:szCs w:val="18"/>
        </w:rPr>
        <w:t>三、服务需求</w:t>
      </w:r>
      <w:bookmarkEnd w:id="8"/>
      <w:bookmarkEnd w:id="9"/>
    </w:p>
    <w:p w14:paraId="4440F831">
      <w:pPr>
        <w:spacing w:line="360" w:lineRule="auto"/>
        <w:rPr>
          <w:rFonts w:ascii="宋体" w:hAnsi="宋体" w:eastAsia="宋体" w:cs="宋体"/>
          <w:kern w:val="0"/>
          <w:sz w:val="24"/>
          <w:szCs w:val="24"/>
          <w:lang w:bidi="ar"/>
        </w:rPr>
      </w:pPr>
      <w:r>
        <w:rPr>
          <w:rFonts w:hint="eastAsia" w:ascii="宋体" w:hAnsi="宋体" w:eastAsia="宋体" w:cs="宋体"/>
          <w:bCs/>
          <w:color w:val="000000"/>
          <w:kern w:val="0"/>
          <w:sz w:val="24"/>
          <w:szCs w:val="24"/>
          <w:lang w:bidi="ar"/>
        </w:rPr>
        <w:t>采购人在用电梯共计1台，现采购新一期维保单位，</w:t>
      </w:r>
      <w:bookmarkStart w:id="10" w:name="OLE_LINK11"/>
      <w:bookmarkStart w:id="11" w:name="OLE_LINK12"/>
      <w:r>
        <w:rPr>
          <w:rFonts w:hint="eastAsia" w:ascii="宋体" w:hAnsi="宋体" w:eastAsia="宋体" w:cs="宋体"/>
          <w:bCs/>
          <w:color w:val="000000"/>
          <w:kern w:val="0"/>
          <w:sz w:val="24"/>
          <w:szCs w:val="24"/>
          <w:lang w:bidi="ar"/>
        </w:rPr>
        <w:t>维保方式为</w:t>
      </w:r>
      <w:bookmarkStart w:id="12" w:name="OLE_LINK5"/>
      <w:r>
        <w:rPr>
          <w:rFonts w:hint="eastAsia" w:ascii="宋体" w:hAnsi="宋体" w:eastAsia="宋体" w:cs="宋体"/>
          <w:bCs/>
          <w:kern w:val="0"/>
          <w:sz w:val="24"/>
          <w:szCs w:val="24"/>
          <w:lang w:bidi="ar"/>
        </w:rPr>
        <w:t>清包维护保养，（即:提供电梯维修保养所需的全部工具和劳务），若有配件损坏，所有零部件要求原厂配件，所有更换的零部件须提供一年质保。电梯维保后完成各项检验、测试工作、调试校对，并保证通过第三方有权检测机构的验收</w:t>
      </w:r>
      <w:bookmarkEnd w:id="12"/>
      <w:r>
        <w:rPr>
          <w:rFonts w:hint="eastAsia" w:ascii="宋体" w:hAnsi="宋体" w:eastAsia="宋体" w:cs="宋体"/>
          <w:bCs/>
          <w:kern w:val="0"/>
          <w:sz w:val="24"/>
          <w:szCs w:val="24"/>
          <w:lang w:bidi="ar"/>
        </w:rPr>
        <w:t>。</w:t>
      </w:r>
      <w:bookmarkEnd w:id="10"/>
      <w:bookmarkEnd w:id="11"/>
    </w:p>
    <w:p w14:paraId="61802F7D">
      <w:pPr>
        <w:spacing w:line="360" w:lineRule="auto"/>
        <w:rPr>
          <w:rFonts w:ascii="宋体" w:hAnsi="宋体" w:eastAsia="宋体"/>
          <w:sz w:val="24"/>
          <w:szCs w:val="24"/>
        </w:rPr>
      </w:pPr>
      <w:r>
        <w:rPr>
          <w:rFonts w:hint="eastAsia" w:ascii="宋体" w:hAnsi="宋体" w:eastAsia="宋体"/>
          <w:sz w:val="24"/>
          <w:szCs w:val="24"/>
        </w:rPr>
        <w:t>电梯</w:t>
      </w:r>
      <w:r>
        <w:rPr>
          <w:rFonts w:ascii="宋体" w:hAnsi="宋体" w:eastAsia="宋体"/>
          <w:sz w:val="24"/>
          <w:szCs w:val="24"/>
        </w:rPr>
        <w:t>设备</w:t>
      </w:r>
      <w:r>
        <w:rPr>
          <w:rFonts w:hint="eastAsia" w:ascii="宋体" w:hAnsi="宋体" w:eastAsia="宋体"/>
          <w:sz w:val="24"/>
          <w:szCs w:val="24"/>
        </w:rPr>
        <w:t>明细</w:t>
      </w:r>
      <w:r>
        <w:rPr>
          <w:rFonts w:ascii="宋体" w:hAnsi="宋体" w:eastAsia="宋体"/>
          <w:sz w:val="24"/>
          <w:szCs w:val="24"/>
        </w:rPr>
        <w:t>如下：</w:t>
      </w:r>
    </w:p>
    <w:tbl>
      <w:tblPr>
        <w:tblStyle w:val="8"/>
        <w:tblW w:w="8548" w:type="dxa"/>
        <w:jc w:val="center"/>
        <w:tblLayout w:type="fixed"/>
        <w:tblCellMar>
          <w:top w:w="0" w:type="dxa"/>
          <w:left w:w="108" w:type="dxa"/>
          <w:bottom w:w="0" w:type="dxa"/>
          <w:right w:w="108" w:type="dxa"/>
        </w:tblCellMar>
      </w:tblPr>
      <w:tblGrid>
        <w:gridCol w:w="704"/>
        <w:gridCol w:w="1418"/>
        <w:gridCol w:w="1701"/>
        <w:gridCol w:w="1559"/>
        <w:gridCol w:w="1506"/>
        <w:gridCol w:w="830"/>
        <w:gridCol w:w="830"/>
      </w:tblGrid>
      <w:tr w14:paraId="0F1D8471">
        <w:tblPrEx>
          <w:tblCellMar>
            <w:top w:w="0" w:type="dxa"/>
            <w:left w:w="108" w:type="dxa"/>
            <w:bottom w:w="0" w:type="dxa"/>
            <w:right w:w="108" w:type="dxa"/>
          </w:tblCellMar>
        </w:tblPrEx>
        <w:trPr>
          <w:trHeight w:val="278" w:hRule="atLeast"/>
          <w:jc w:val="center"/>
        </w:trPr>
        <w:tc>
          <w:tcPr>
            <w:tcW w:w="704" w:type="dxa"/>
            <w:tcBorders>
              <w:top w:val="single" w:color="auto" w:sz="4" w:space="0"/>
              <w:left w:val="single" w:color="auto" w:sz="4" w:space="0"/>
              <w:bottom w:val="single" w:color="auto" w:sz="4" w:space="0"/>
              <w:right w:val="single" w:color="auto" w:sz="4" w:space="0"/>
            </w:tcBorders>
            <w:noWrap/>
            <w:vAlign w:val="bottom"/>
          </w:tcPr>
          <w:p w14:paraId="2611ACCF">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1418" w:type="dxa"/>
            <w:tcBorders>
              <w:top w:val="single" w:color="auto" w:sz="4" w:space="0"/>
              <w:left w:val="nil"/>
              <w:bottom w:val="single" w:color="auto" w:sz="4" w:space="0"/>
              <w:right w:val="single" w:color="auto" w:sz="4" w:space="0"/>
            </w:tcBorders>
            <w:noWrap/>
            <w:vAlign w:val="bottom"/>
          </w:tcPr>
          <w:p w14:paraId="292A9FA5">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品牌</w:t>
            </w:r>
          </w:p>
        </w:tc>
        <w:tc>
          <w:tcPr>
            <w:tcW w:w="1701" w:type="dxa"/>
            <w:tcBorders>
              <w:top w:val="single" w:color="auto" w:sz="4" w:space="0"/>
              <w:left w:val="nil"/>
              <w:bottom w:val="single" w:color="auto" w:sz="4" w:space="0"/>
              <w:right w:val="single" w:color="auto" w:sz="4" w:space="0"/>
            </w:tcBorders>
            <w:noWrap/>
            <w:vAlign w:val="bottom"/>
          </w:tcPr>
          <w:p w14:paraId="7C921DEA">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层站</w:t>
            </w:r>
          </w:p>
        </w:tc>
        <w:tc>
          <w:tcPr>
            <w:tcW w:w="1559" w:type="dxa"/>
            <w:tcBorders>
              <w:top w:val="single" w:color="auto" w:sz="4" w:space="0"/>
              <w:left w:val="nil"/>
              <w:bottom w:val="single" w:color="auto" w:sz="4" w:space="0"/>
              <w:right w:val="single" w:color="auto" w:sz="4" w:space="0"/>
            </w:tcBorders>
            <w:noWrap/>
            <w:vAlign w:val="bottom"/>
          </w:tcPr>
          <w:p w14:paraId="03F0C181">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载重</w:t>
            </w:r>
          </w:p>
        </w:tc>
        <w:tc>
          <w:tcPr>
            <w:tcW w:w="1506" w:type="dxa"/>
            <w:tcBorders>
              <w:top w:val="single" w:color="auto" w:sz="4" w:space="0"/>
              <w:left w:val="nil"/>
              <w:bottom w:val="single" w:color="auto" w:sz="4" w:space="0"/>
              <w:right w:val="single" w:color="auto" w:sz="4" w:space="0"/>
            </w:tcBorders>
            <w:noWrap/>
            <w:vAlign w:val="bottom"/>
          </w:tcPr>
          <w:p w14:paraId="370B4E45">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速度m/s</w:t>
            </w:r>
          </w:p>
        </w:tc>
        <w:tc>
          <w:tcPr>
            <w:tcW w:w="830" w:type="dxa"/>
            <w:tcBorders>
              <w:top w:val="single" w:color="auto" w:sz="4" w:space="0"/>
              <w:left w:val="nil"/>
              <w:bottom w:val="single" w:color="auto" w:sz="4" w:space="0"/>
              <w:right w:val="single" w:color="auto" w:sz="4" w:space="0"/>
            </w:tcBorders>
          </w:tcPr>
          <w:p w14:paraId="67FD0446">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数量</w:t>
            </w:r>
          </w:p>
        </w:tc>
        <w:tc>
          <w:tcPr>
            <w:tcW w:w="830" w:type="dxa"/>
            <w:tcBorders>
              <w:top w:val="single" w:color="auto" w:sz="4" w:space="0"/>
              <w:left w:val="single" w:color="auto" w:sz="4" w:space="0"/>
              <w:bottom w:val="single" w:color="auto" w:sz="4" w:space="0"/>
              <w:right w:val="single" w:color="auto" w:sz="4" w:space="0"/>
            </w:tcBorders>
          </w:tcPr>
          <w:p w14:paraId="04430A27">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备注</w:t>
            </w:r>
          </w:p>
        </w:tc>
      </w:tr>
      <w:tr w14:paraId="248C4EF7">
        <w:tblPrEx>
          <w:tblCellMar>
            <w:top w:w="0" w:type="dxa"/>
            <w:left w:w="108" w:type="dxa"/>
            <w:bottom w:w="0" w:type="dxa"/>
            <w:right w:w="108" w:type="dxa"/>
          </w:tblCellMar>
        </w:tblPrEx>
        <w:trPr>
          <w:trHeight w:val="278"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14:paraId="69E7B2E9">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418" w:type="dxa"/>
            <w:tcBorders>
              <w:top w:val="single" w:color="auto" w:sz="4" w:space="0"/>
              <w:left w:val="nil"/>
              <w:bottom w:val="single" w:color="auto" w:sz="4" w:space="0"/>
              <w:right w:val="single" w:color="auto" w:sz="4" w:space="0"/>
            </w:tcBorders>
            <w:noWrap/>
            <w:vAlign w:val="center"/>
          </w:tcPr>
          <w:p w14:paraId="12881C59">
            <w:pPr>
              <w:widowControl/>
              <w:spacing w:line="360" w:lineRule="auto"/>
              <w:jc w:val="center"/>
              <w:rPr>
                <w:rFonts w:hint="eastAsia" w:ascii="宋体" w:hAnsi="宋体" w:eastAsia="宋体" w:cs="宋体"/>
                <w:kern w:val="0"/>
                <w:sz w:val="24"/>
                <w:szCs w:val="24"/>
              </w:rPr>
            </w:pPr>
            <w:r>
              <w:rPr>
                <w:rFonts w:ascii="宋体" w:hAnsi="宋体" w:eastAsia="宋体" w:cs="宋体"/>
                <w:kern w:val="0"/>
                <w:sz w:val="24"/>
                <w:szCs w:val="24"/>
              </w:rPr>
              <w:t>奥的斯</w:t>
            </w:r>
          </w:p>
        </w:tc>
        <w:tc>
          <w:tcPr>
            <w:tcW w:w="1701" w:type="dxa"/>
            <w:tcBorders>
              <w:top w:val="single" w:color="auto" w:sz="4" w:space="0"/>
              <w:left w:val="nil"/>
              <w:bottom w:val="single" w:color="auto" w:sz="4" w:space="0"/>
              <w:right w:val="single" w:color="auto" w:sz="4" w:space="0"/>
            </w:tcBorders>
            <w:noWrap/>
            <w:vAlign w:val="center"/>
          </w:tcPr>
          <w:p w14:paraId="0A7798F5">
            <w:pPr>
              <w:widowControl/>
              <w:spacing w:line="360" w:lineRule="auto"/>
              <w:jc w:val="center"/>
              <w:rPr>
                <w:rFonts w:ascii="宋体" w:hAnsi="宋体" w:eastAsia="宋体" w:cs="宋体"/>
                <w:kern w:val="0"/>
                <w:sz w:val="24"/>
                <w:szCs w:val="24"/>
              </w:rPr>
            </w:pPr>
            <w:r>
              <w:rPr>
                <w:rFonts w:ascii="宋体" w:hAnsi="宋体" w:eastAsia="宋体" w:cs="宋体"/>
                <w:sz w:val="24"/>
              </w:rPr>
              <w:t>6/6</w:t>
            </w:r>
          </w:p>
        </w:tc>
        <w:tc>
          <w:tcPr>
            <w:tcW w:w="1559" w:type="dxa"/>
            <w:tcBorders>
              <w:top w:val="single" w:color="auto" w:sz="4" w:space="0"/>
              <w:left w:val="nil"/>
              <w:bottom w:val="single" w:color="auto" w:sz="4" w:space="0"/>
              <w:right w:val="single" w:color="auto" w:sz="4" w:space="0"/>
            </w:tcBorders>
            <w:noWrap/>
            <w:vAlign w:val="center"/>
          </w:tcPr>
          <w:p w14:paraId="1FC95DC2">
            <w:pPr>
              <w:widowControl/>
              <w:spacing w:line="360" w:lineRule="auto"/>
              <w:jc w:val="center"/>
              <w:rPr>
                <w:rFonts w:ascii="宋体" w:hAnsi="宋体" w:eastAsia="宋体" w:cs="宋体"/>
                <w:kern w:val="0"/>
                <w:sz w:val="24"/>
                <w:szCs w:val="24"/>
              </w:rPr>
            </w:pPr>
            <w:r>
              <w:rPr>
                <w:rFonts w:ascii="宋体" w:hAnsi="宋体" w:eastAsia="宋体" w:cs="宋体"/>
                <w:sz w:val="24"/>
              </w:rPr>
              <w:t>1000</w:t>
            </w:r>
          </w:p>
        </w:tc>
        <w:tc>
          <w:tcPr>
            <w:tcW w:w="1506" w:type="dxa"/>
            <w:tcBorders>
              <w:top w:val="single" w:color="auto" w:sz="4" w:space="0"/>
              <w:left w:val="nil"/>
              <w:bottom w:val="single" w:color="auto" w:sz="4" w:space="0"/>
              <w:right w:val="single" w:color="auto" w:sz="4" w:space="0"/>
            </w:tcBorders>
            <w:noWrap/>
            <w:vAlign w:val="center"/>
          </w:tcPr>
          <w:p w14:paraId="498197E6">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0</w:t>
            </w:r>
          </w:p>
        </w:tc>
        <w:tc>
          <w:tcPr>
            <w:tcW w:w="830" w:type="dxa"/>
            <w:tcBorders>
              <w:top w:val="single" w:color="auto" w:sz="4" w:space="0"/>
              <w:left w:val="nil"/>
              <w:bottom w:val="single" w:color="auto" w:sz="4" w:space="0"/>
              <w:right w:val="single" w:color="auto" w:sz="4" w:space="0"/>
            </w:tcBorders>
          </w:tcPr>
          <w:p w14:paraId="6B94AF58">
            <w:pPr>
              <w:widowControl/>
              <w:spacing w:line="360" w:lineRule="auto"/>
              <w:ind w:firstLine="240" w:firstLineChars="100"/>
              <w:rPr>
                <w:rFonts w:ascii="宋体" w:hAnsi="宋体" w:eastAsia="宋体" w:cs="宋体"/>
                <w:kern w:val="0"/>
                <w:sz w:val="24"/>
                <w:szCs w:val="24"/>
              </w:rPr>
            </w:pPr>
            <w:r>
              <w:rPr>
                <w:rFonts w:ascii="宋体" w:hAnsi="宋体" w:eastAsia="宋体" w:cs="宋体"/>
                <w:kern w:val="0"/>
                <w:sz w:val="24"/>
                <w:szCs w:val="24"/>
              </w:rPr>
              <w:t>1</w:t>
            </w:r>
          </w:p>
        </w:tc>
        <w:tc>
          <w:tcPr>
            <w:tcW w:w="830" w:type="dxa"/>
            <w:tcBorders>
              <w:top w:val="single" w:color="auto" w:sz="4" w:space="0"/>
              <w:left w:val="single" w:color="auto" w:sz="4" w:space="0"/>
              <w:bottom w:val="single" w:color="auto" w:sz="4" w:space="0"/>
              <w:right w:val="single" w:color="auto" w:sz="4" w:space="0"/>
            </w:tcBorders>
          </w:tcPr>
          <w:p w14:paraId="2B51F985">
            <w:pPr>
              <w:widowControl/>
              <w:spacing w:line="360" w:lineRule="auto"/>
              <w:jc w:val="center"/>
              <w:rPr>
                <w:rFonts w:ascii="宋体" w:hAnsi="宋体" w:eastAsia="宋体" w:cs="宋体"/>
                <w:kern w:val="0"/>
                <w:sz w:val="24"/>
                <w:szCs w:val="24"/>
              </w:rPr>
            </w:pPr>
          </w:p>
        </w:tc>
      </w:tr>
      <w:tr w14:paraId="3D9872FB">
        <w:tblPrEx>
          <w:tblCellMar>
            <w:top w:w="0" w:type="dxa"/>
            <w:left w:w="108" w:type="dxa"/>
            <w:bottom w:w="0" w:type="dxa"/>
            <w:right w:w="108" w:type="dxa"/>
          </w:tblCellMar>
        </w:tblPrEx>
        <w:trPr>
          <w:trHeight w:val="278"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14:paraId="4D99DD01">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418" w:type="dxa"/>
            <w:tcBorders>
              <w:top w:val="single" w:color="auto" w:sz="4" w:space="0"/>
              <w:left w:val="nil"/>
              <w:bottom w:val="single" w:color="auto" w:sz="4" w:space="0"/>
              <w:right w:val="single" w:color="auto" w:sz="4" w:space="0"/>
            </w:tcBorders>
            <w:noWrap/>
            <w:vAlign w:val="center"/>
          </w:tcPr>
          <w:p w14:paraId="3F0994E9">
            <w:pPr>
              <w:widowControl/>
              <w:spacing w:line="360" w:lineRule="auto"/>
              <w:jc w:val="center"/>
              <w:rPr>
                <w:rFonts w:hint="eastAsia" w:ascii="宋体" w:hAnsi="宋体" w:eastAsia="宋体" w:cs="宋体"/>
                <w:bCs/>
                <w:sz w:val="24"/>
                <w:szCs w:val="24"/>
              </w:rPr>
            </w:pPr>
          </w:p>
        </w:tc>
        <w:tc>
          <w:tcPr>
            <w:tcW w:w="1701" w:type="dxa"/>
            <w:tcBorders>
              <w:top w:val="single" w:color="auto" w:sz="4" w:space="0"/>
              <w:left w:val="nil"/>
              <w:bottom w:val="single" w:color="auto" w:sz="4" w:space="0"/>
              <w:right w:val="single" w:color="auto" w:sz="4" w:space="0"/>
            </w:tcBorders>
            <w:noWrap/>
            <w:vAlign w:val="center"/>
          </w:tcPr>
          <w:p w14:paraId="08272736">
            <w:pPr>
              <w:widowControl/>
              <w:spacing w:line="360" w:lineRule="auto"/>
              <w:jc w:val="center"/>
              <w:rPr>
                <w:rFonts w:hint="eastAsia" w:ascii="宋体" w:hAnsi="宋体" w:eastAsia="宋体" w:cs="宋体"/>
                <w:kern w:val="0"/>
                <w:sz w:val="24"/>
                <w:szCs w:val="24"/>
              </w:rPr>
            </w:pPr>
          </w:p>
        </w:tc>
        <w:tc>
          <w:tcPr>
            <w:tcW w:w="1559" w:type="dxa"/>
            <w:tcBorders>
              <w:top w:val="single" w:color="auto" w:sz="4" w:space="0"/>
              <w:left w:val="nil"/>
              <w:bottom w:val="single" w:color="auto" w:sz="4" w:space="0"/>
              <w:right w:val="single" w:color="auto" w:sz="4" w:space="0"/>
            </w:tcBorders>
            <w:noWrap/>
            <w:vAlign w:val="center"/>
          </w:tcPr>
          <w:p w14:paraId="7E4E33A0">
            <w:pPr>
              <w:widowControl/>
              <w:spacing w:line="360" w:lineRule="auto"/>
              <w:jc w:val="center"/>
              <w:rPr>
                <w:rFonts w:ascii="宋体" w:hAnsi="宋体" w:eastAsia="宋体" w:cs="宋体"/>
                <w:kern w:val="0"/>
                <w:sz w:val="24"/>
                <w:szCs w:val="24"/>
              </w:rPr>
            </w:pPr>
          </w:p>
        </w:tc>
        <w:tc>
          <w:tcPr>
            <w:tcW w:w="1506" w:type="dxa"/>
            <w:tcBorders>
              <w:top w:val="single" w:color="auto" w:sz="4" w:space="0"/>
              <w:left w:val="nil"/>
              <w:bottom w:val="single" w:color="auto" w:sz="4" w:space="0"/>
              <w:right w:val="single" w:color="auto" w:sz="4" w:space="0"/>
            </w:tcBorders>
            <w:noWrap/>
            <w:vAlign w:val="center"/>
          </w:tcPr>
          <w:p w14:paraId="782AB760">
            <w:pPr>
              <w:widowControl/>
              <w:spacing w:line="360" w:lineRule="auto"/>
              <w:jc w:val="center"/>
              <w:rPr>
                <w:rFonts w:hint="eastAsia" w:ascii="宋体" w:hAnsi="宋体" w:eastAsia="宋体" w:cs="宋体"/>
                <w:kern w:val="0"/>
                <w:sz w:val="24"/>
                <w:szCs w:val="24"/>
              </w:rPr>
            </w:pPr>
          </w:p>
        </w:tc>
        <w:tc>
          <w:tcPr>
            <w:tcW w:w="830" w:type="dxa"/>
            <w:tcBorders>
              <w:top w:val="single" w:color="auto" w:sz="4" w:space="0"/>
              <w:left w:val="nil"/>
              <w:bottom w:val="single" w:color="auto" w:sz="4" w:space="0"/>
              <w:right w:val="single" w:color="auto" w:sz="4" w:space="0"/>
            </w:tcBorders>
          </w:tcPr>
          <w:p w14:paraId="65339E4E">
            <w:pPr>
              <w:widowControl/>
              <w:spacing w:line="360" w:lineRule="auto"/>
              <w:jc w:val="center"/>
              <w:rPr>
                <w:rFonts w:ascii="宋体" w:hAnsi="宋体" w:eastAsia="宋体" w:cs="宋体"/>
                <w:kern w:val="0"/>
                <w:sz w:val="24"/>
                <w:szCs w:val="24"/>
              </w:rPr>
            </w:pPr>
          </w:p>
        </w:tc>
        <w:tc>
          <w:tcPr>
            <w:tcW w:w="830" w:type="dxa"/>
            <w:tcBorders>
              <w:top w:val="single" w:color="auto" w:sz="4" w:space="0"/>
              <w:left w:val="single" w:color="auto" w:sz="4" w:space="0"/>
              <w:bottom w:val="single" w:color="auto" w:sz="4" w:space="0"/>
              <w:right w:val="single" w:color="auto" w:sz="4" w:space="0"/>
            </w:tcBorders>
          </w:tcPr>
          <w:p w14:paraId="66D039FA">
            <w:pPr>
              <w:widowControl/>
              <w:spacing w:line="360" w:lineRule="auto"/>
              <w:jc w:val="center"/>
              <w:rPr>
                <w:rFonts w:ascii="宋体" w:hAnsi="宋体" w:eastAsia="宋体" w:cs="宋体"/>
                <w:kern w:val="0"/>
                <w:sz w:val="24"/>
                <w:szCs w:val="24"/>
              </w:rPr>
            </w:pPr>
          </w:p>
        </w:tc>
      </w:tr>
      <w:tr w14:paraId="244643F7">
        <w:tblPrEx>
          <w:tblCellMar>
            <w:top w:w="0" w:type="dxa"/>
            <w:left w:w="108" w:type="dxa"/>
            <w:bottom w:w="0" w:type="dxa"/>
            <w:right w:w="108" w:type="dxa"/>
          </w:tblCellMar>
        </w:tblPrEx>
        <w:trPr>
          <w:trHeight w:val="278"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14:paraId="619E334D">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418" w:type="dxa"/>
            <w:tcBorders>
              <w:top w:val="single" w:color="auto" w:sz="4" w:space="0"/>
              <w:left w:val="nil"/>
              <w:bottom w:val="single" w:color="auto" w:sz="4" w:space="0"/>
              <w:right w:val="single" w:color="auto" w:sz="4" w:space="0"/>
            </w:tcBorders>
            <w:noWrap/>
            <w:vAlign w:val="center"/>
          </w:tcPr>
          <w:p w14:paraId="521C926A">
            <w:pPr>
              <w:widowControl/>
              <w:spacing w:line="360" w:lineRule="auto"/>
              <w:jc w:val="left"/>
              <w:rPr>
                <w:rFonts w:hint="eastAsia" w:ascii="宋体" w:hAnsi="宋体" w:eastAsia="宋体" w:cs="宋体"/>
                <w:bCs/>
                <w:sz w:val="24"/>
                <w:szCs w:val="24"/>
                <w:lang w:val="en-US" w:eastAsia="zh-CN"/>
              </w:rPr>
            </w:pPr>
          </w:p>
        </w:tc>
        <w:tc>
          <w:tcPr>
            <w:tcW w:w="1701" w:type="dxa"/>
            <w:tcBorders>
              <w:top w:val="single" w:color="auto" w:sz="4" w:space="0"/>
              <w:left w:val="nil"/>
              <w:bottom w:val="single" w:color="auto" w:sz="4" w:space="0"/>
              <w:right w:val="single" w:color="auto" w:sz="4" w:space="0"/>
            </w:tcBorders>
            <w:noWrap/>
            <w:vAlign w:val="center"/>
          </w:tcPr>
          <w:p w14:paraId="131F7120">
            <w:pPr>
              <w:widowControl/>
              <w:spacing w:line="360" w:lineRule="auto"/>
              <w:jc w:val="left"/>
              <w:rPr>
                <w:rFonts w:hint="eastAsia" w:ascii="宋体" w:hAnsi="宋体" w:eastAsia="宋体" w:cs="宋体"/>
                <w:kern w:val="0"/>
                <w:sz w:val="24"/>
                <w:szCs w:val="24"/>
              </w:rPr>
            </w:pPr>
          </w:p>
        </w:tc>
        <w:tc>
          <w:tcPr>
            <w:tcW w:w="1559" w:type="dxa"/>
            <w:tcBorders>
              <w:top w:val="single" w:color="auto" w:sz="4" w:space="0"/>
              <w:left w:val="nil"/>
              <w:bottom w:val="single" w:color="auto" w:sz="4" w:space="0"/>
              <w:right w:val="single" w:color="auto" w:sz="4" w:space="0"/>
            </w:tcBorders>
            <w:noWrap/>
            <w:vAlign w:val="center"/>
          </w:tcPr>
          <w:p w14:paraId="74525991">
            <w:pPr>
              <w:widowControl/>
              <w:spacing w:line="360" w:lineRule="auto"/>
              <w:jc w:val="center"/>
              <w:rPr>
                <w:rFonts w:ascii="宋体" w:hAnsi="宋体" w:eastAsia="宋体" w:cs="宋体"/>
                <w:kern w:val="0"/>
                <w:sz w:val="24"/>
                <w:szCs w:val="24"/>
              </w:rPr>
            </w:pPr>
          </w:p>
        </w:tc>
        <w:tc>
          <w:tcPr>
            <w:tcW w:w="1506" w:type="dxa"/>
            <w:tcBorders>
              <w:top w:val="single" w:color="auto" w:sz="4" w:space="0"/>
              <w:left w:val="nil"/>
              <w:bottom w:val="single" w:color="auto" w:sz="4" w:space="0"/>
              <w:right w:val="single" w:color="auto" w:sz="4" w:space="0"/>
            </w:tcBorders>
            <w:noWrap/>
            <w:vAlign w:val="center"/>
          </w:tcPr>
          <w:p w14:paraId="44A4ECAA">
            <w:pPr>
              <w:widowControl/>
              <w:spacing w:line="360" w:lineRule="auto"/>
              <w:jc w:val="center"/>
              <w:rPr>
                <w:rFonts w:hint="eastAsia" w:ascii="宋体" w:hAnsi="宋体" w:eastAsia="宋体" w:cs="宋体"/>
                <w:kern w:val="0"/>
                <w:sz w:val="24"/>
                <w:szCs w:val="24"/>
              </w:rPr>
            </w:pPr>
          </w:p>
        </w:tc>
        <w:tc>
          <w:tcPr>
            <w:tcW w:w="830" w:type="dxa"/>
            <w:tcBorders>
              <w:top w:val="single" w:color="auto" w:sz="4" w:space="0"/>
              <w:left w:val="nil"/>
              <w:bottom w:val="single" w:color="auto" w:sz="4" w:space="0"/>
              <w:right w:val="single" w:color="auto" w:sz="4" w:space="0"/>
            </w:tcBorders>
          </w:tcPr>
          <w:p w14:paraId="0F32569B">
            <w:pPr>
              <w:widowControl/>
              <w:spacing w:line="360" w:lineRule="auto"/>
              <w:jc w:val="center"/>
              <w:rPr>
                <w:rFonts w:ascii="宋体" w:hAnsi="宋体" w:eastAsia="宋体" w:cs="宋体"/>
                <w:kern w:val="0"/>
                <w:sz w:val="24"/>
                <w:szCs w:val="24"/>
              </w:rPr>
            </w:pPr>
          </w:p>
        </w:tc>
        <w:tc>
          <w:tcPr>
            <w:tcW w:w="830" w:type="dxa"/>
            <w:tcBorders>
              <w:top w:val="single" w:color="auto" w:sz="4" w:space="0"/>
              <w:left w:val="single" w:color="auto" w:sz="4" w:space="0"/>
              <w:bottom w:val="single" w:color="auto" w:sz="4" w:space="0"/>
              <w:right w:val="single" w:color="auto" w:sz="4" w:space="0"/>
            </w:tcBorders>
          </w:tcPr>
          <w:p w14:paraId="12A65CC2">
            <w:pPr>
              <w:widowControl/>
              <w:spacing w:line="360" w:lineRule="auto"/>
              <w:jc w:val="center"/>
              <w:rPr>
                <w:rFonts w:ascii="宋体" w:hAnsi="宋体" w:eastAsia="宋体" w:cs="宋体"/>
                <w:kern w:val="0"/>
                <w:sz w:val="24"/>
                <w:szCs w:val="24"/>
              </w:rPr>
            </w:pPr>
          </w:p>
        </w:tc>
      </w:tr>
      <w:tr w14:paraId="43B720FC">
        <w:tblPrEx>
          <w:tblCellMar>
            <w:top w:w="0" w:type="dxa"/>
            <w:left w:w="108" w:type="dxa"/>
            <w:bottom w:w="0" w:type="dxa"/>
            <w:right w:w="108" w:type="dxa"/>
          </w:tblCellMar>
        </w:tblPrEx>
        <w:trPr>
          <w:trHeight w:val="278"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14:paraId="6F26709A">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418" w:type="dxa"/>
            <w:tcBorders>
              <w:top w:val="single" w:color="auto" w:sz="4" w:space="0"/>
              <w:left w:val="nil"/>
              <w:bottom w:val="single" w:color="auto" w:sz="4" w:space="0"/>
              <w:right w:val="single" w:color="auto" w:sz="4" w:space="0"/>
            </w:tcBorders>
            <w:noWrap/>
            <w:vAlign w:val="center"/>
          </w:tcPr>
          <w:p w14:paraId="45AAD7A8">
            <w:pPr>
              <w:widowControl/>
              <w:spacing w:line="360" w:lineRule="auto"/>
              <w:jc w:val="left"/>
              <w:rPr>
                <w:rFonts w:hint="eastAsia" w:ascii="宋体" w:hAnsi="宋体" w:eastAsia="宋体" w:cs="宋体"/>
                <w:bCs/>
                <w:sz w:val="24"/>
                <w:szCs w:val="24"/>
                <w:lang w:val="en-US" w:eastAsia="zh-CN"/>
              </w:rPr>
            </w:pPr>
          </w:p>
        </w:tc>
        <w:tc>
          <w:tcPr>
            <w:tcW w:w="1701" w:type="dxa"/>
            <w:tcBorders>
              <w:top w:val="single" w:color="auto" w:sz="4" w:space="0"/>
              <w:left w:val="nil"/>
              <w:bottom w:val="single" w:color="auto" w:sz="4" w:space="0"/>
              <w:right w:val="single" w:color="auto" w:sz="4" w:space="0"/>
            </w:tcBorders>
            <w:noWrap/>
            <w:vAlign w:val="center"/>
          </w:tcPr>
          <w:p w14:paraId="019E261D">
            <w:pPr>
              <w:widowControl/>
              <w:spacing w:line="360" w:lineRule="auto"/>
              <w:jc w:val="left"/>
              <w:rPr>
                <w:rFonts w:hint="eastAsia" w:ascii="宋体" w:hAnsi="宋体" w:eastAsia="宋体" w:cs="宋体"/>
                <w:kern w:val="0"/>
                <w:sz w:val="24"/>
                <w:szCs w:val="24"/>
              </w:rPr>
            </w:pPr>
          </w:p>
        </w:tc>
        <w:tc>
          <w:tcPr>
            <w:tcW w:w="1559" w:type="dxa"/>
            <w:tcBorders>
              <w:top w:val="single" w:color="auto" w:sz="4" w:space="0"/>
              <w:left w:val="nil"/>
              <w:bottom w:val="single" w:color="auto" w:sz="4" w:space="0"/>
              <w:right w:val="single" w:color="auto" w:sz="4" w:space="0"/>
            </w:tcBorders>
            <w:noWrap/>
            <w:vAlign w:val="center"/>
          </w:tcPr>
          <w:p w14:paraId="5F126800">
            <w:pPr>
              <w:widowControl/>
              <w:spacing w:line="360" w:lineRule="auto"/>
              <w:jc w:val="center"/>
              <w:rPr>
                <w:rFonts w:ascii="宋体" w:hAnsi="宋体" w:eastAsia="宋体" w:cs="宋体"/>
                <w:kern w:val="0"/>
                <w:sz w:val="24"/>
                <w:szCs w:val="24"/>
              </w:rPr>
            </w:pPr>
          </w:p>
        </w:tc>
        <w:tc>
          <w:tcPr>
            <w:tcW w:w="1506" w:type="dxa"/>
            <w:tcBorders>
              <w:top w:val="single" w:color="auto" w:sz="4" w:space="0"/>
              <w:left w:val="nil"/>
              <w:bottom w:val="single" w:color="auto" w:sz="4" w:space="0"/>
              <w:right w:val="single" w:color="auto" w:sz="4" w:space="0"/>
            </w:tcBorders>
            <w:noWrap/>
            <w:vAlign w:val="center"/>
          </w:tcPr>
          <w:p w14:paraId="434413A1">
            <w:pPr>
              <w:widowControl/>
              <w:spacing w:line="360" w:lineRule="auto"/>
              <w:jc w:val="center"/>
              <w:rPr>
                <w:rFonts w:hint="eastAsia" w:ascii="宋体" w:hAnsi="宋体" w:eastAsia="宋体" w:cs="宋体"/>
                <w:kern w:val="0"/>
                <w:sz w:val="24"/>
                <w:szCs w:val="24"/>
              </w:rPr>
            </w:pPr>
          </w:p>
        </w:tc>
        <w:tc>
          <w:tcPr>
            <w:tcW w:w="830" w:type="dxa"/>
            <w:tcBorders>
              <w:top w:val="single" w:color="auto" w:sz="4" w:space="0"/>
              <w:left w:val="nil"/>
              <w:bottom w:val="single" w:color="auto" w:sz="4" w:space="0"/>
              <w:right w:val="single" w:color="auto" w:sz="4" w:space="0"/>
            </w:tcBorders>
          </w:tcPr>
          <w:p w14:paraId="50BB04CC">
            <w:pPr>
              <w:widowControl/>
              <w:spacing w:line="360" w:lineRule="auto"/>
              <w:jc w:val="center"/>
              <w:rPr>
                <w:rFonts w:ascii="宋体" w:hAnsi="宋体" w:eastAsia="宋体" w:cs="宋体"/>
                <w:kern w:val="0"/>
                <w:sz w:val="24"/>
                <w:szCs w:val="24"/>
              </w:rPr>
            </w:pPr>
          </w:p>
        </w:tc>
        <w:tc>
          <w:tcPr>
            <w:tcW w:w="830" w:type="dxa"/>
            <w:tcBorders>
              <w:top w:val="single" w:color="auto" w:sz="4" w:space="0"/>
              <w:left w:val="single" w:color="auto" w:sz="4" w:space="0"/>
              <w:bottom w:val="single" w:color="auto" w:sz="4" w:space="0"/>
              <w:right w:val="single" w:color="auto" w:sz="4" w:space="0"/>
            </w:tcBorders>
          </w:tcPr>
          <w:p w14:paraId="08389855">
            <w:pPr>
              <w:widowControl/>
              <w:spacing w:line="360" w:lineRule="auto"/>
              <w:jc w:val="center"/>
              <w:rPr>
                <w:rFonts w:ascii="宋体" w:hAnsi="宋体" w:eastAsia="宋体" w:cs="宋体"/>
                <w:kern w:val="0"/>
                <w:sz w:val="24"/>
                <w:szCs w:val="24"/>
              </w:rPr>
            </w:pPr>
          </w:p>
        </w:tc>
      </w:tr>
    </w:tbl>
    <w:p w14:paraId="1D3F9C5C">
      <w:pPr>
        <w:pStyle w:val="2"/>
        <w:spacing w:after="0" w:line="360" w:lineRule="auto"/>
        <w:rPr>
          <w:rFonts w:ascii="宋体" w:hAnsi="宋体" w:eastAsia="宋体" w:cs="宋体"/>
          <w:kern w:val="0"/>
          <w:sz w:val="24"/>
          <w:lang w:val="en-US" w:bidi="ar"/>
        </w:rPr>
      </w:pPr>
      <w:r>
        <w:rPr>
          <w:rFonts w:ascii="宋体" w:hAnsi="宋体" w:eastAsia="宋体" w:cs="宋体"/>
          <w:kern w:val="0"/>
          <w:sz w:val="24"/>
          <w:lang w:val="en-US" w:bidi="ar"/>
        </w:rPr>
        <w:t>1、日常维护保养服务</w:t>
      </w:r>
    </w:p>
    <w:p w14:paraId="4DF8870E">
      <w:pPr>
        <w:spacing w:line="360" w:lineRule="auto"/>
        <w:rPr>
          <w:rFonts w:ascii="宋体" w:hAnsi="宋体" w:eastAsia="宋体"/>
          <w:color w:val="000000"/>
          <w:sz w:val="24"/>
        </w:rPr>
      </w:pPr>
      <w:r>
        <w:rPr>
          <w:rFonts w:ascii="宋体" w:hAnsi="宋体" w:eastAsia="宋体"/>
          <w:color w:val="000000"/>
          <w:sz w:val="24"/>
        </w:rPr>
        <w:t xml:space="preserve"> （1）按照《电梯使用管理与维护保养规则》（TSGT5002-2017）规定的半月、季度、半年、年度保养项目和电梯制造单位技术文件所要求的特殊保养项目、电梯安全技术规范、相关标准和使用维护保养说明的要求，制定安全管理制度、全年保养计划和各项定期保养计划的具体实施时间表，开展维护保养工作；如需调整原保养计划，应提前30日通知采购人并经采购人同意后方可调整，但应保证保养时间间隔不得超过15日。</w:t>
      </w:r>
    </w:p>
    <w:p w14:paraId="0E54732D">
      <w:pPr>
        <w:spacing w:line="360" w:lineRule="auto"/>
        <w:rPr>
          <w:rFonts w:ascii="宋体" w:hAnsi="宋体" w:eastAsia="宋体"/>
          <w:color w:val="000000"/>
          <w:sz w:val="24"/>
        </w:rPr>
      </w:pPr>
      <w:r>
        <w:rPr>
          <w:rFonts w:ascii="宋体" w:hAnsi="宋体" w:eastAsia="宋体"/>
          <w:color w:val="000000"/>
          <w:sz w:val="24"/>
        </w:rPr>
        <w:t>（2）</w:t>
      </w:r>
      <w:bookmarkStart w:id="13" w:name="OLE_LINK17"/>
      <w:bookmarkStart w:id="14" w:name="OLE_LINK16"/>
      <w:r>
        <w:rPr>
          <w:rFonts w:ascii="宋体" w:hAnsi="宋体" w:eastAsia="宋体"/>
          <w:color w:val="000000"/>
          <w:sz w:val="24"/>
        </w:rPr>
        <w:t>中标人须</w:t>
      </w:r>
      <w:bookmarkStart w:id="15" w:name="OLE_LINK9"/>
      <w:bookmarkStart w:id="16" w:name="OLE_LINK10"/>
      <w:r>
        <w:rPr>
          <w:rFonts w:ascii="宋体" w:hAnsi="宋体" w:eastAsia="宋体"/>
          <w:color w:val="000000"/>
          <w:sz w:val="24"/>
        </w:rPr>
        <w:t>为本项目配备</w:t>
      </w:r>
      <w:r>
        <w:rPr>
          <w:rFonts w:ascii="宋体" w:hAnsi="宋体" w:eastAsia="宋体"/>
          <w:b/>
          <w:bCs/>
          <w:color w:val="000000"/>
          <w:sz w:val="24"/>
        </w:rPr>
        <w:t>1名项目负责人</w:t>
      </w:r>
      <w:r>
        <w:rPr>
          <w:rFonts w:ascii="宋体" w:hAnsi="宋体" w:eastAsia="宋体"/>
          <w:color w:val="000000"/>
          <w:sz w:val="24"/>
        </w:rPr>
        <w:t>、</w:t>
      </w:r>
      <w:r>
        <w:rPr>
          <w:rFonts w:ascii="宋体" w:hAnsi="宋体" w:eastAsia="宋体"/>
          <w:b/>
          <w:bCs/>
          <w:color w:val="000000"/>
          <w:sz w:val="24"/>
        </w:rPr>
        <w:t>2名持证电梯维保人员</w:t>
      </w:r>
      <w:r>
        <w:rPr>
          <w:rFonts w:hint="eastAsia" w:ascii="宋体" w:hAnsi="宋体" w:eastAsia="宋体"/>
          <w:b/>
          <w:bCs/>
          <w:color w:val="000000"/>
          <w:sz w:val="24"/>
        </w:rPr>
        <w:t>(特种设备作业人员证)</w:t>
      </w:r>
      <w:r>
        <w:rPr>
          <w:rFonts w:ascii="宋体" w:hAnsi="宋体" w:eastAsia="宋体"/>
          <w:color w:val="000000"/>
          <w:sz w:val="24"/>
        </w:rPr>
        <w:t>提供维保服务，并保证联系电话24小时畅通，维保人员须具备丰富的维保经验，熟悉本项目电梯特点，协调能力强、有责任心。在电梯出现故障和紧急状况时，维保人员须在接电话通知后30分钟内赶至现场进行故障排除，超出时间引起的事故或损失应承担相应的责任，并能提供正常连续的服务直至故障或事故排除。</w:t>
      </w:r>
      <w:bookmarkEnd w:id="13"/>
      <w:bookmarkEnd w:id="14"/>
      <w:bookmarkEnd w:id="15"/>
      <w:bookmarkEnd w:id="16"/>
    </w:p>
    <w:p w14:paraId="344BC913">
      <w:pPr>
        <w:spacing w:line="360" w:lineRule="auto"/>
        <w:rPr>
          <w:rFonts w:ascii="宋体" w:hAnsi="宋体" w:eastAsia="宋体"/>
          <w:color w:val="000000"/>
          <w:sz w:val="24"/>
        </w:rPr>
      </w:pPr>
      <w:r>
        <w:rPr>
          <w:rFonts w:ascii="宋体" w:hAnsi="宋体" w:eastAsia="宋体"/>
          <w:color w:val="000000"/>
          <w:sz w:val="24"/>
        </w:rPr>
        <w:t xml:space="preserve"> (3)中标人须确保电梯在维保期间处于安全良好的运行状态，并在保证电梯安全运行的前提下降低电梯维护保养成本，节能降耗。</w:t>
      </w:r>
    </w:p>
    <w:p w14:paraId="10F612DC">
      <w:pPr>
        <w:spacing w:line="360" w:lineRule="auto"/>
        <w:rPr>
          <w:rFonts w:ascii="宋体" w:hAnsi="宋体" w:eastAsia="宋体"/>
          <w:color w:val="000000"/>
          <w:sz w:val="24"/>
        </w:rPr>
      </w:pPr>
      <w:r>
        <w:rPr>
          <w:rFonts w:ascii="宋体" w:hAnsi="宋体" w:eastAsia="宋体"/>
          <w:color w:val="000000"/>
          <w:sz w:val="24"/>
        </w:rPr>
        <w:t>(4)中标人应为每台电梯的维护保养都建立详细的档案，并定期向采购人提供反映电梯现状的各种数据报告。</w:t>
      </w:r>
    </w:p>
    <w:p w14:paraId="341815B3">
      <w:pPr>
        <w:spacing w:line="360" w:lineRule="auto"/>
        <w:rPr>
          <w:rFonts w:ascii="宋体" w:hAnsi="宋体" w:eastAsia="宋体"/>
          <w:color w:val="000000"/>
          <w:sz w:val="24"/>
        </w:rPr>
      </w:pPr>
      <w:r>
        <w:rPr>
          <w:rFonts w:ascii="宋体" w:hAnsi="宋体" w:eastAsia="宋体"/>
          <w:color w:val="000000"/>
          <w:sz w:val="24"/>
        </w:rPr>
        <w:t>(5)在保养期内应配合检验工作，中标人保证并负责所保养的电梯能通过质量技术监督部门及其他有关政府部门主持的年检验或相应的质量资格审核。</w:t>
      </w:r>
      <w:r>
        <w:rPr>
          <w:rFonts w:ascii="宋体" w:hAnsi="宋体" w:eastAsia="宋体"/>
          <w:bCs/>
          <w:color w:val="000000"/>
          <w:sz w:val="24"/>
        </w:rPr>
        <w:t>国家规定的年度检验检测费用</w:t>
      </w:r>
      <w:r>
        <w:rPr>
          <w:rFonts w:ascii="宋体" w:hAnsi="宋体" w:eastAsia="宋体"/>
          <w:color w:val="000000"/>
          <w:sz w:val="24"/>
        </w:rPr>
        <w:t>【</w:t>
      </w:r>
      <w:r>
        <w:rPr>
          <w:rFonts w:ascii="宋体" w:hAnsi="宋体" w:eastAsia="宋体"/>
          <w:bCs/>
          <w:color w:val="000000"/>
          <w:sz w:val="24"/>
        </w:rPr>
        <w:t>相关所有费用（包含定期检验、电梯荷载制动试验、限速器校验等年检部门强制要求的项目）</w:t>
      </w:r>
      <w:r>
        <w:rPr>
          <w:rFonts w:ascii="宋体" w:hAnsi="宋体" w:eastAsia="宋体"/>
          <w:color w:val="000000"/>
          <w:sz w:val="24"/>
        </w:rPr>
        <w:t>】</w:t>
      </w:r>
      <w:r>
        <w:rPr>
          <w:rFonts w:ascii="宋体" w:hAnsi="宋体" w:eastAsia="宋体"/>
          <w:bCs/>
          <w:color w:val="000000"/>
          <w:sz w:val="24"/>
        </w:rPr>
        <w:t>由</w:t>
      </w:r>
      <w:r>
        <w:rPr>
          <w:rFonts w:hint="eastAsia" w:ascii="宋体" w:hAnsi="宋体" w:eastAsia="宋体"/>
          <w:bCs/>
          <w:color w:val="000000"/>
          <w:sz w:val="24"/>
        </w:rPr>
        <w:t>采购人</w:t>
      </w:r>
      <w:r>
        <w:rPr>
          <w:rFonts w:ascii="宋体" w:hAnsi="宋体" w:eastAsia="宋体"/>
          <w:bCs/>
          <w:color w:val="000000"/>
          <w:sz w:val="24"/>
        </w:rPr>
        <w:t>承担</w:t>
      </w:r>
      <w:r>
        <w:rPr>
          <w:rFonts w:ascii="宋体" w:hAnsi="宋体" w:eastAsia="宋体"/>
          <w:color w:val="000000"/>
          <w:sz w:val="24"/>
        </w:rPr>
        <w:t>。如因维保质量原因未能通过定期检测或年检的，发生的复检费用由成交供应商负责。每年进行一次全面检查并确保电梯通过特种设备安全监督部门的年检，取得年检报告及合格证。</w:t>
      </w:r>
    </w:p>
    <w:p w14:paraId="28F63ADF">
      <w:pPr>
        <w:spacing w:line="360" w:lineRule="auto"/>
        <w:rPr>
          <w:rFonts w:ascii="宋体" w:hAnsi="宋体" w:eastAsia="宋体"/>
          <w:color w:val="000000"/>
          <w:sz w:val="24"/>
        </w:rPr>
      </w:pPr>
      <w:r>
        <w:rPr>
          <w:rFonts w:ascii="宋体" w:hAnsi="宋体" w:eastAsia="宋体"/>
          <w:color w:val="000000"/>
          <w:sz w:val="24"/>
        </w:rPr>
        <w:t>(6)中标人在履约服务中，因操作不当造成人员伤亡、采购人设备损坏或其他损失的，由中标人承担全部责任。</w:t>
      </w:r>
    </w:p>
    <w:p w14:paraId="3740F1F5">
      <w:pPr>
        <w:spacing w:line="360" w:lineRule="auto"/>
        <w:rPr>
          <w:rFonts w:ascii="宋体" w:hAnsi="宋体" w:eastAsia="宋体"/>
          <w:color w:val="000000"/>
          <w:sz w:val="24"/>
        </w:rPr>
      </w:pPr>
      <w:r>
        <w:rPr>
          <w:rFonts w:ascii="宋体" w:hAnsi="宋体" w:eastAsia="宋体"/>
          <w:color w:val="000000"/>
          <w:sz w:val="24"/>
        </w:rPr>
        <w:t>（7）在电梯显著位置，标明本单位的名称、应急救援电话号码和投诉电话号码，公布最近一次维护保养信息，信息至少应当包括维护保养人员、维护保养时间等内容；</w:t>
      </w:r>
    </w:p>
    <w:p w14:paraId="1D1AAC60">
      <w:pPr>
        <w:spacing w:line="360" w:lineRule="auto"/>
        <w:rPr>
          <w:rFonts w:ascii="宋体" w:hAnsi="宋体" w:eastAsia="宋体"/>
          <w:color w:val="000000"/>
          <w:sz w:val="24"/>
        </w:rPr>
      </w:pPr>
      <w:r>
        <w:rPr>
          <w:rFonts w:ascii="宋体" w:hAnsi="宋体" w:eastAsia="宋体"/>
          <w:color w:val="000000"/>
          <w:sz w:val="24"/>
        </w:rPr>
        <w:t xml:space="preserve"> （8）建立每部电梯的维护保养和故障处置记录，将电梯维修、保养工作内容、 故障原因、处理方法、所更换零件、维保达到效果、参加人员名单等详情记录到相应工作记录单内，便于采购人电梯维修保养档案管理。对采购人认为没有达标的和后期整改合格的都要记录，随时备查，并在维保服务结束后全部移交采购人。 </w:t>
      </w:r>
    </w:p>
    <w:p w14:paraId="6F3F3965">
      <w:pPr>
        <w:spacing w:line="360" w:lineRule="auto"/>
        <w:rPr>
          <w:rFonts w:ascii="宋体" w:hAnsi="宋体" w:eastAsia="宋体"/>
          <w:color w:val="000000"/>
          <w:sz w:val="24"/>
        </w:rPr>
      </w:pPr>
      <w:r>
        <w:rPr>
          <w:rFonts w:ascii="宋体" w:hAnsi="宋体" w:eastAsia="宋体"/>
          <w:color w:val="000000"/>
          <w:sz w:val="24"/>
        </w:rPr>
        <w:t xml:space="preserve">（9）本项目内任意一部电梯在一个合同年度内累计发生5次及以上非外力因素故障，中标方须按照合同金额的1％向甲方支付违约金。 </w:t>
      </w:r>
    </w:p>
    <w:p w14:paraId="521628A4">
      <w:pPr>
        <w:spacing w:line="360" w:lineRule="auto"/>
        <w:rPr>
          <w:rFonts w:ascii="宋体" w:hAnsi="宋体" w:eastAsia="宋体"/>
          <w:color w:val="000000"/>
          <w:sz w:val="24"/>
        </w:rPr>
      </w:pPr>
      <w:r>
        <w:rPr>
          <w:rFonts w:ascii="宋体" w:hAnsi="宋体" w:eastAsia="宋体"/>
          <w:color w:val="000000"/>
          <w:sz w:val="24"/>
        </w:rPr>
        <w:t xml:space="preserve">2、其它服务 </w:t>
      </w:r>
    </w:p>
    <w:p w14:paraId="32E2C964">
      <w:pPr>
        <w:spacing w:line="360" w:lineRule="auto"/>
        <w:rPr>
          <w:rFonts w:ascii="宋体" w:hAnsi="宋体" w:eastAsia="宋体"/>
          <w:color w:val="000000"/>
          <w:sz w:val="24"/>
        </w:rPr>
      </w:pPr>
      <w:r>
        <w:rPr>
          <w:rFonts w:ascii="宋体" w:hAnsi="宋体" w:eastAsia="宋体"/>
          <w:color w:val="000000"/>
          <w:sz w:val="24"/>
        </w:rPr>
        <w:t>（1）负责年度电梯责任保险费；</w:t>
      </w:r>
    </w:p>
    <w:p w14:paraId="410A88FB">
      <w:pPr>
        <w:spacing w:line="360" w:lineRule="auto"/>
        <w:rPr>
          <w:rFonts w:ascii="宋体" w:hAnsi="宋体" w:eastAsia="宋体"/>
          <w:color w:val="000000"/>
          <w:sz w:val="24"/>
        </w:rPr>
      </w:pPr>
      <w:r>
        <w:rPr>
          <w:rFonts w:ascii="宋体" w:hAnsi="宋体" w:eastAsia="宋体"/>
          <w:color w:val="000000"/>
          <w:sz w:val="24"/>
        </w:rPr>
        <w:t>（2）负责清理电梯机房、轿顶和底坑的卫生并保证整洁；</w:t>
      </w:r>
    </w:p>
    <w:p w14:paraId="77CA048F">
      <w:pPr>
        <w:spacing w:line="360" w:lineRule="auto"/>
        <w:rPr>
          <w:rFonts w:ascii="宋体" w:hAnsi="宋体" w:eastAsia="宋体"/>
          <w:color w:val="000000"/>
          <w:sz w:val="24"/>
        </w:rPr>
      </w:pPr>
      <w:r>
        <w:rPr>
          <w:rFonts w:ascii="宋体" w:hAnsi="宋体" w:eastAsia="宋体"/>
          <w:color w:val="000000"/>
          <w:sz w:val="24"/>
        </w:rPr>
        <w:t>（3）接受采购人与市场监督等部门的监管意见并负责落实整改；</w:t>
      </w:r>
    </w:p>
    <w:p w14:paraId="1AB37AE8">
      <w:pPr>
        <w:spacing w:line="360" w:lineRule="auto"/>
        <w:rPr>
          <w:rFonts w:ascii="宋体" w:hAnsi="宋体" w:eastAsia="宋体"/>
          <w:color w:val="000000"/>
          <w:sz w:val="24"/>
        </w:rPr>
      </w:pPr>
      <w:r>
        <w:rPr>
          <w:rFonts w:ascii="宋体" w:hAnsi="宋体" w:eastAsia="宋体"/>
          <w:color w:val="000000"/>
          <w:sz w:val="24"/>
        </w:rPr>
        <w:t>（4）协助采购人建立健全安全管理制度、安全技术档案、应急救援预案，配合采购人开展应急救援演练。</w:t>
      </w:r>
    </w:p>
    <w:p w14:paraId="1855029D">
      <w:pPr>
        <w:spacing w:line="360" w:lineRule="auto"/>
        <w:rPr>
          <w:rFonts w:ascii="宋体" w:hAnsi="宋体" w:eastAsia="宋体"/>
          <w:color w:val="000000"/>
          <w:sz w:val="24"/>
        </w:rPr>
      </w:pPr>
      <w:r>
        <w:rPr>
          <w:rFonts w:ascii="宋体" w:hAnsi="宋体" w:eastAsia="宋体"/>
          <w:color w:val="000000"/>
          <w:sz w:val="24"/>
        </w:rPr>
        <w:t xml:space="preserve"> （5） 派出的维修人员应接受采购人监督，若采购人认为维修人员工作不能尽职尽责，有权要求更换；</w:t>
      </w:r>
    </w:p>
    <w:p w14:paraId="1F8DF5BA">
      <w:pPr>
        <w:spacing w:line="360" w:lineRule="auto"/>
        <w:rPr>
          <w:rFonts w:ascii="宋体" w:hAnsi="宋体" w:eastAsia="宋体"/>
          <w:color w:val="000000"/>
          <w:sz w:val="24"/>
        </w:rPr>
      </w:pPr>
      <w:r>
        <w:rPr>
          <w:rFonts w:ascii="宋体" w:hAnsi="宋体" w:eastAsia="宋体"/>
          <w:color w:val="000000"/>
          <w:sz w:val="24"/>
        </w:rPr>
        <w:t xml:space="preserve"> （6）负责对我</w:t>
      </w:r>
      <w:r>
        <w:rPr>
          <w:rFonts w:hint="eastAsia" w:ascii="宋体" w:hAnsi="宋体" w:eastAsia="宋体"/>
          <w:color w:val="000000"/>
          <w:sz w:val="24"/>
        </w:rPr>
        <w:t>单位</w:t>
      </w:r>
      <w:r>
        <w:rPr>
          <w:rFonts w:ascii="宋体" w:hAnsi="宋体" w:eastAsia="宋体"/>
          <w:color w:val="000000"/>
          <w:sz w:val="24"/>
        </w:rPr>
        <w:t>物业公司等电梯使用相关人员进行电梯安全及紧急救援培训；</w:t>
      </w:r>
    </w:p>
    <w:p w14:paraId="7C6A9A4B">
      <w:pPr>
        <w:spacing w:line="360" w:lineRule="auto"/>
        <w:rPr>
          <w:rFonts w:ascii="宋体" w:hAnsi="宋体" w:eastAsia="宋体"/>
          <w:color w:val="000000"/>
          <w:sz w:val="24"/>
        </w:rPr>
      </w:pPr>
      <w:r>
        <w:rPr>
          <w:rFonts w:ascii="宋体" w:hAnsi="宋体" w:eastAsia="宋体"/>
          <w:color w:val="000000"/>
          <w:sz w:val="24"/>
        </w:rPr>
        <w:t xml:space="preserve">  3、工作要求 </w:t>
      </w:r>
    </w:p>
    <w:p w14:paraId="094A35CE">
      <w:pPr>
        <w:spacing w:line="360" w:lineRule="auto"/>
        <w:rPr>
          <w:rFonts w:ascii="宋体" w:hAnsi="宋体" w:eastAsia="宋体"/>
          <w:color w:val="000000"/>
          <w:sz w:val="24"/>
        </w:rPr>
      </w:pPr>
      <w:r>
        <w:rPr>
          <w:rFonts w:ascii="宋体" w:hAnsi="宋体" w:eastAsia="宋体"/>
          <w:color w:val="000000"/>
          <w:sz w:val="24"/>
        </w:rPr>
        <w:t>日常维护保养应遵守的标准包括但不限于：</w:t>
      </w:r>
    </w:p>
    <w:p w14:paraId="1ABCB060">
      <w:pPr>
        <w:spacing w:line="360" w:lineRule="auto"/>
        <w:rPr>
          <w:rFonts w:ascii="宋体" w:hAnsi="宋体" w:eastAsia="宋体"/>
          <w:color w:val="000000"/>
          <w:sz w:val="24"/>
        </w:rPr>
      </w:pPr>
      <w:bookmarkStart w:id="17" w:name="OLE_LINK13"/>
      <w:r>
        <w:rPr>
          <w:rFonts w:ascii="宋体" w:hAnsi="宋体" w:eastAsia="宋体"/>
          <w:color w:val="000000"/>
          <w:sz w:val="24"/>
        </w:rPr>
        <w:t>（1）电梯使用管理与维护保养规则 TSG T5002-2017。</w:t>
      </w:r>
    </w:p>
    <w:p w14:paraId="0131F329">
      <w:pPr>
        <w:spacing w:line="360" w:lineRule="auto"/>
        <w:rPr>
          <w:rFonts w:ascii="宋体" w:hAnsi="宋体" w:eastAsia="宋体"/>
          <w:color w:val="000000"/>
          <w:sz w:val="24"/>
        </w:rPr>
      </w:pPr>
      <w:r>
        <w:rPr>
          <w:rFonts w:ascii="宋体" w:hAnsi="宋体" w:eastAsia="宋体"/>
          <w:color w:val="000000"/>
          <w:sz w:val="24"/>
        </w:rPr>
        <w:t xml:space="preserve">（2）电梯维修规范 GB/T 18775-2009。 </w:t>
      </w:r>
    </w:p>
    <w:p w14:paraId="5ABF30B5">
      <w:pPr>
        <w:spacing w:line="360" w:lineRule="auto"/>
        <w:rPr>
          <w:rFonts w:ascii="宋体" w:hAnsi="宋体" w:eastAsia="宋体"/>
          <w:color w:val="000000"/>
          <w:sz w:val="24"/>
        </w:rPr>
      </w:pPr>
      <w:r>
        <w:rPr>
          <w:rFonts w:ascii="宋体" w:hAnsi="宋体" w:eastAsia="宋体"/>
          <w:color w:val="000000"/>
          <w:sz w:val="24"/>
        </w:rPr>
        <w:t>（3）电梯监督检验和定期检验规则—曳引与强制驱动电梯 TSG T7001-2023。</w:t>
      </w:r>
    </w:p>
    <w:p w14:paraId="152C4D04">
      <w:pPr>
        <w:spacing w:line="360" w:lineRule="auto"/>
        <w:rPr>
          <w:rFonts w:ascii="宋体" w:hAnsi="宋体" w:eastAsia="宋体"/>
          <w:color w:val="000000"/>
          <w:sz w:val="24"/>
        </w:rPr>
      </w:pPr>
      <w:r>
        <w:rPr>
          <w:rFonts w:ascii="宋体" w:hAnsi="宋体" w:eastAsia="宋体"/>
          <w:color w:val="000000"/>
          <w:sz w:val="24"/>
        </w:rPr>
        <w:t>（4）电梯监督检验和定期检验规则—自动扶梯与自动人行道 TSG T7005－ 2012。</w:t>
      </w:r>
    </w:p>
    <w:p w14:paraId="70DD4C21">
      <w:pPr>
        <w:spacing w:line="360" w:lineRule="auto"/>
        <w:rPr>
          <w:rFonts w:ascii="宋体" w:hAnsi="宋体" w:eastAsia="宋体"/>
          <w:color w:val="000000"/>
          <w:sz w:val="24"/>
        </w:rPr>
      </w:pPr>
      <w:r>
        <w:rPr>
          <w:rFonts w:ascii="宋体" w:hAnsi="宋体" w:eastAsia="宋体"/>
          <w:color w:val="000000"/>
          <w:sz w:val="24"/>
        </w:rPr>
        <w:t>（5）电梯安装维修作业安全规范 DB11/419-2007。</w:t>
      </w:r>
    </w:p>
    <w:p w14:paraId="6D02D560">
      <w:pPr>
        <w:spacing w:line="360" w:lineRule="auto"/>
        <w:rPr>
          <w:rFonts w:ascii="宋体" w:hAnsi="宋体" w:eastAsia="宋体"/>
          <w:color w:val="000000"/>
          <w:sz w:val="24"/>
        </w:rPr>
      </w:pPr>
      <w:r>
        <w:rPr>
          <w:rFonts w:ascii="宋体" w:hAnsi="宋体" w:eastAsia="宋体"/>
          <w:color w:val="000000"/>
          <w:sz w:val="24"/>
        </w:rPr>
        <w:t>（6）电梯安装改造重大维修和维护保养自检规则 DB11/420-2007。</w:t>
      </w:r>
    </w:p>
    <w:p w14:paraId="40F60BE7">
      <w:pPr>
        <w:spacing w:line="360" w:lineRule="auto"/>
        <w:rPr>
          <w:rFonts w:ascii="宋体" w:hAnsi="宋体" w:eastAsia="宋体"/>
          <w:color w:val="000000"/>
          <w:sz w:val="24"/>
        </w:rPr>
      </w:pPr>
      <w:r>
        <w:rPr>
          <w:rFonts w:ascii="宋体" w:hAnsi="宋体" w:eastAsia="宋体"/>
          <w:color w:val="000000"/>
          <w:sz w:val="24"/>
        </w:rPr>
        <w:t>（7）电梯安装使用维护说明书。</w:t>
      </w:r>
    </w:p>
    <w:p w14:paraId="5398301B">
      <w:pPr>
        <w:spacing w:line="360" w:lineRule="auto"/>
        <w:rPr>
          <w:rFonts w:ascii="宋体" w:hAnsi="宋体" w:eastAsia="宋体"/>
          <w:color w:val="000000"/>
          <w:sz w:val="24"/>
        </w:rPr>
      </w:pPr>
      <w:r>
        <w:rPr>
          <w:rFonts w:ascii="宋体" w:hAnsi="宋体" w:eastAsia="宋体"/>
          <w:color w:val="000000"/>
          <w:sz w:val="24"/>
        </w:rPr>
        <w:t>（8）维保合同。 如相应标准有变动，参照最新国家标准执行。</w:t>
      </w:r>
      <w:bookmarkEnd w:id="17"/>
      <w:r>
        <w:rPr>
          <w:rFonts w:ascii="宋体" w:hAnsi="宋体" w:eastAsia="宋体"/>
          <w:color w:val="000000"/>
          <w:sz w:val="24"/>
        </w:rPr>
        <w:t xml:space="preserve"> </w:t>
      </w:r>
    </w:p>
    <w:p w14:paraId="455A3A07">
      <w:pPr>
        <w:spacing w:line="360" w:lineRule="auto"/>
        <w:rPr>
          <w:rFonts w:ascii="宋体" w:hAnsi="宋体" w:eastAsia="宋体"/>
          <w:color w:val="000000"/>
          <w:sz w:val="24"/>
        </w:rPr>
      </w:pPr>
      <w:r>
        <w:rPr>
          <w:rFonts w:ascii="宋体" w:hAnsi="宋体" w:eastAsia="宋体"/>
          <w:color w:val="000000"/>
          <w:sz w:val="24"/>
        </w:rPr>
        <w:t xml:space="preserve">（9）现场作业人员应当取得相应的《特种设备作业人员证》，熟练掌握所维保电梯原理、结构、性能、安全要求。 中标方定期对作业人员进行安全教育和技术培训，保证作业人员严格按照产品工艺要求、安全及技术规范进行维保。如发现中标方人员不具备相应资质，采购方有权直接解除合同，且由此产生的所有经济损失由中标方全部承担。 </w:t>
      </w:r>
    </w:p>
    <w:p w14:paraId="53DD146B">
      <w:pPr>
        <w:spacing w:line="360" w:lineRule="auto"/>
        <w:rPr>
          <w:rFonts w:ascii="宋体" w:hAnsi="宋体" w:eastAsia="宋体"/>
          <w:color w:val="000000"/>
          <w:sz w:val="24"/>
        </w:rPr>
      </w:pPr>
      <w:r>
        <w:rPr>
          <w:rFonts w:ascii="宋体" w:hAnsi="宋体" w:eastAsia="宋体"/>
          <w:color w:val="000000"/>
          <w:sz w:val="24"/>
        </w:rPr>
        <w:t>（10）作业过程中应服从采购人现场安全管理，落实现场安全防护措施，保证作业安全。需要安全监护作业的内容应书面告知采购人，作业时，作业人员不得少于二人。若中标方违反约定，作业过程中未服从采购方现场安全管理落实现场安全防护措施，或需要安全监护的作业时作业人员只有一人，或保养时间不足，或保养不规范留下隐患，须根据学院电梯维保服务考核办法按次扣除相应的考核 分，并承担由此产生的全部责任。</w:t>
      </w:r>
    </w:p>
    <w:p w14:paraId="56DF4108">
      <w:pPr>
        <w:spacing w:line="360" w:lineRule="auto"/>
        <w:rPr>
          <w:rFonts w:ascii="宋体" w:hAnsi="宋体" w:eastAsia="宋体"/>
          <w:color w:val="000000"/>
          <w:sz w:val="24"/>
        </w:rPr>
      </w:pPr>
      <w:r>
        <w:rPr>
          <w:rFonts w:ascii="宋体" w:hAnsi="宋体" w:eastAsia="宋体"/>
          <w:color w:val="000000"/>
          <w:sz w:val="24"/>
        </w:rPr>
        <w:t xml:space="preserve">（11）中标方维保工作不符合合同约定的维保标准或要求的，中标方应当返工并承担因此产生的返工费用，并承担由此产生的相关责任。 </w:t>
      </w:r>
    </w:p>
    <w:p w14:paraId="52378C7A">
      <w:pPr>
        <w:spacing w:line="360" w:lineRule="auto"/>
        <w:rPr>
          <w:rFonts w:ascii="宋体" w:hAnsi="宋体" w:eastAsia="宋体"/>
          <w:color w:val="000000"/>
          <w:sz w:val="24"/>
        </w:rPr>
      </w:pPr>
      <w:r>
        <w:rPr>
          <w:rFonts w:ascii="宋体" w:hAnsi="宋体" w:eastAsia="宋体"/>
          <w:color w:val="000000"/>
          <w:sz w:val="24"/>
        </w:rPr>
        <w:t xml:space="preserve">（12）在电梯维保作业过程中因维保原因导致人身伤亡或设备损坏、零部件丢失的，由中标方承担全部责任。 </w:t>
      </w:r>
    </w:p>
    <w:p w14:paraId="031C5815">
      <w:pPr>
        <w:spacing w:line="360" w:lineRule="auto"/>
        <w:rPr>
          <w:rFonts w:ascii="宋体" w:hAnsi="宋体" w:eastAsia="宋体"/>
          <w:color w:val="000000"/>
          <w:sz w:val="24"/>
        </w:rPr>
      </w:pPr>
      <w:r>
        <w:rPr>
          <w:rFonts w:ascii="宋体" w:hAnsi="宋体" w:eastAsia="宋体"/>
          <w:color w:val="000000"/>
          <w:sz w:val="24"/>
        </w:rPr>
        <w:t xml:space="preserve">（13）采购人遇有重要活动时，中标人应预先进行全面检查并在采购人进行重要活动的当天安排技术人员到现场，以确保电梯的正常运行。现场需采取停梯措施时，应立即通知采购人并及时组织抢修。 </w:t>
      </w:r>
    </w:p>
    <w:p w14:paraId="2E7042EA">
      <w:pPr>
        <w:spacing w:line="360" w:lineRule="auto"/>
        <w:rPr>
          <w:rFonts w:ascii="宋体" w:hAnsi="宋体" w:eastAsia="宋体"/>
          <w:color w:val="000000"/>
          <w:sz w:val="24"/>
        </w:rPr>
      </w:pPr>
      <w:r>
        <w:rPr>
          <w:rFonts w:ascii="宋体" w:hAnsi="宋体" w:eastAsia="宋体"/>
          <w:color w:val="000000"/>
          <w:sz w:val="24"/>
        </w:rPr>
        <w:t>（14）每年进行一次电梯救援演习，每年应进行一次安全技术培训，增加自身专业技能。</w:t>
      </w:r>
    </w:p>
    <w:p w14:paraId="3B3B281A">
      <w:pPr>
        <w:spacing w:line="360" w:lineRule="auto"/>
        <w:rPr>
          <w:rFonts w:ascii="宋体" w:hAnsi="宋体" w:eastAsia="宋体"/>
          <w:color w:val="000000"/>
          <w:sz w:val="24"/>
        </w:rPr>
      </w:pPr>
      <w:r>
        <w:rPr>
          <w:rFonts w:ascii="宋体" w:hAnsi="宋体" w:eastAsia="宋体"/>
          <w:color w:val="000000"/>
          <w:sz w:val="24"/>
        </w:rPr>
        <w:t>（15）合同结束前不得出现发现问题不维修，合同期结束后必须与下家维保公司无缝对接，并且办理好交接手续。</w:t>
      </w:r>
    </w:p>
    <w:p w14:paraId="032EAFD0">
      <w:pPr>
        <w:spacing w:line="360" w:lineRule="auto"/>
        <w:rPr>
          <w:rFonts w:ascii="宋体" w:hAnsi="宋体" w:eastAsia="宋体"/>
          <w:color w:val="000000"/>
          <w:sz w:val="24"/>
        </w:rPr>
      </w:pPr>
      <w:r>
        <w:rPr>
          <w:rFonts w:ascii="宋体" w:hAnsi="宋体" w:eastAsia="宋体"/>
          <w:color w:val="000000"/>
          <w:sz w:val="24"/>
        </w:rPr>
        <w:t xml:space="preserve">3、责任划分：若电梯出现重大安全事故，安全责任由市场监管部门鉴定确认。 经鉴定后属成交供应商原因造成的设备损失及人身伤亡，均由成交供应商承担。 </w:t>
      </w:r>
    </w:p>
    <w:p w14:paraId="25E4ECC0">
      <w:pPr>
        <w:spacing w:line="360" w:lineRule="auto"/>
        <w:rPr>
          <w:rFonts w:ascii="宋体" w:hAnsi="宋体" w:eastAsia="宋体"/>
          <w:color w:val="000000"/>
          <w:sz w:val="24"/>
        </w:rPr>
      </w:pPr>
      <w:r>
        <w:rPr>
          <w:rFonts w:ascii="宋体" w:hAnsi="宋体" w:eastAsia="宋体"/>
          <w:color w:val="000000"/>
          <w:sz w:val="24"/>
        </w:rPr>
        <w:t>4、退出机制：在服务期限内，若成交供应商出现以下任意情况之一，采购人将有权解除合同。</w:t>
      </w:r>
    </w:p>
    <w:p w14:paraId="3A5F5B69">
      <w:pPr>
        <w:spacing w:line="360" w:lineRule="auto"/>
        <w:rPr>
          <w:rFonts w:ascii="宋体" w:hAnsi="宋体" w:eastAsia="宋体"/>
          <w:color w:val="000000"/>
          <w:sz w:val="24"/>
        </w:rPr>
      </w:pPr>
      <w:r>
        <w:rPr>
          <w:rFonts w:ascii="宋体" w:hAnsi="宋体" w:eastAsia="宋体"/>
          <w:color w:val="000000"/>
          <w:sz w:val="24"/>
        </w:rPr>
        <w:t>（1）未按照维保要求对电梯进行维保，采购人通知后 24 小时内仍未响应；</w:t>
      </w:r>
    </w:p>
    <w:p w14:paraId="03DD8154">
      <w:pPr>
        <w:spacing w:line="360" w:lineRule="auto"/>
        <w:rPr>
          <w:rFonts w:ascii="宋体" w:hAnsi="宋体" w:eastAsia="宋体"/>
          <w:color w:val="000000"/>
          <w:sz w:val="24"/>
        </w:rPr>
      </w:pPr>
      <w:r>
        <w:rPr>
          <w:rFonts w:ascii="宋体" w:hAnsi="宋体" w:eastAsia="宋体"/>
          <w:color w:val="000000"/>
          <w:sz w:val="24"/>
        </w:rPr>
        <w:t xml:space="preserve">（2）维修未达到我校验收标准，采购人通知后 24 小时内仍未响应； </w:t>
      </w:r>
    </w:p>
    <w:p w14:paraId="35D285D1">
      <w:pPr>
        <w:spacing w:line="360" w:lineRule="auto"/>
        <w:rPr>
          <w:rFonts w:ascii="宋体" w:hAnsi="宋体" w:eastAsia="宋体"/>
          <w:color w:val="000000"/>
          <w:sz w:val="24"/>
        </w:rPr>
      </w:pPr>
      <w:r>
        <w:rPr>
          <w:rFonts w:ascii="宋体" w:hAnsi="宋体" w:eastAsia="宋体"/>
          <w:color w:val="000000"/>
          <w:sz w:val="24"/>
        </w:rPr>
        <w:t>（3）消极怠工、服务态度不好，未按照我校管理人员要求进行相关工作，采购人通知后 24 小时内未响应；</w:t>
      </w:r>
    </w:p>
    <w:p w14:paraId="4FF86D82">
      <w:pPr>
        <w:spacing w:line="360" w:lineRule="auto"/>
        <w:rPr>
          <w:rFonts w:ascii="宋体" w:hAnsi="宋体" w:eastAsia="宋体"/>
          <w:color w:val="000000"/>
          <w:sz w:val="24"/>
        </w:rPr>
      </w:pPr>
      <w:r>
        <w:rPr>
          <w:rFonts w:ascii="宋体" w:hAnsi="宋体" w:eastAsia="宋体"/>
          <w:color w:val="000000"/>
          <w:sz w:val="24"/>
        </w:rPr>
        <w:t xml:space="preserve">（4）两次季度考核等级为“不合格”； </w:t>
      </w:r>
    </w:p>
    <w:p w14:paraId="59208903">
      <w:pPr>
        <w:spacing w:line="360" w:lineRule="auto"/>
        <w:rPr>
          <w:rFonts w:ascii="宋体" w:hAnsi="宋体" w:eastAsia="宋体"/>
          <w:color w:val="000000"/>
          <w:sz w:val="24"/>
        </w:rPr>
      </w:pPr>
      <w:r>
        <w:rPr>
          <w:rFonts w:ascii="宋体" w:hAnsi="宋体" w:eastAsia="宋体"/>
          <w:color w:val="000000"/>
          <w:sz w:val="24"/>
        </w:rPr>
        <w:t xml:space="preserve">（5）将本项目合同进行转租、转包、分包； </w:t>
      </w:r>
    </w:p>
    <w:p w14:paraId="630EE204">
      <w:pPr>
        <w:spacing w:line="360" w:lineRule="auto"/>
        <w:rPr>
          <w:rFonts w:ascii="宋体" w:hAnsi="宋体" w:eastAsia="宋体"/>
          <w:color w:val="000000"/>
          <w:sz w:val="24"/>
        </w:rPr>
      </w:pPr>
      <w:r>
        <w:rPr>
          <w:rFonts w:ascii="宋体" w:hAnsi="宋体" w:eastAsia="宋体"/>
          <w:color w:val="000000"/>
          <w:sz w:val="24"/>
        </w:rPr>
        <w:t>（6）电梯出现重大安全事故，经权威部门鉴定确认维保公司负有责任的。</w:t>
      </w:r>
    </w:p>
    <w:p w14:paraId="496969CD">
      <w:pPr>
        <w:spacing w:line="360" w:lineRule="auto"/>
        <w:ind w:firstLine="480" w:firstLineChars="200"/>
        <w:outlineLvl w:val="1"/>
        <w:rPr>
          <w:rFonts w:ascii="宋体" w:hAnsi="宋体" w:eastAsia="宋体"/>
          <w:color w:val="000000"/>
          <w:sz w:val="24"/>
          <w:szCs w:val="18"/>
        </w:rPr>
      </w:pPr>
      <w:r>
        <w:rPr>
          <w:rFonts w:hint="eastAsia" w:ascii="宋体" w:hAnsi="宋体" w:eastAsia="宋体"/>
          <w:color w:val="000000"/>
          <w:sz w:val="24"/>
          <w:szCs w:val="18"/>
        </w:rPr>
        <w:t>四</w:t>
      </w:r>
      <w:r>
        <w:rPr>
          <w:rFonts w:ascii="宋体" w:hAnsi="宋体" w:eastAsia="宋体"/>
          <w:color w:val="000000"/>
          <w:sz w:val="24"/>
          <w:szCs w:val="18"/>
        </w:rPr>
        <w:t xml:space="preserve">、报价要求 </w:t>
      </w:r>
    </w:p>
    <w:p w14:paraId="6B526D9B">
      <w:pPr>
        <w:spacing w:line="360" w:lineRule="auto"/>
        <w:ind w:firstLine="435"/>
        <w:rPr>
          <w:rFonts w:ascii="宋体" w:hAnsi="宋体" w:eastAsia="宋体"/>
          <w:color w:val="000000"/>
          <w:sz w:val="24"/>
        </w:rPr>
      </w:pPr>
      <w:r>
        <w:rPr>
          <w:rFonts w:ascii="宋体" w:hAnsi="宋体" w:eastAsia="宋体"/>
          <w:bCs/>
          <w:color w:val="000000"/>
          <w:sz w:val="24"/>
        </w:rPr>
        <w:t>本项目报总价。报价即为完成本项目一年的全部费用价格，应包含但不限于：日常维保服务费、维修工时费、人员薪酬、 年度电梯责任保险费、设备运输费、税费、培训费、卫生清理费等本项目合同履行所需的全部费用</w:t>
      </w:r>
      <w:r>
        <w:rPr>
          <w:rFonts w:hint="eastAsia" w:ascii="宋体" w:hAnsi="宋体" w:eastAsia="宋体"/>
          <w:bCs/>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58C0A7"/>
    <w:multiLevelType w:val="singleLevel"/>
    <w:tmpl w:val="C258C0A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32D"/>
    <w:rsid w:val="00114673"/>
    <w:rsid w:val="00147F2A"/>
    <w:rsid w:val="001D648B"/>
    <w:rsid w:val="002915C8"/>
    <w:rsid w:val="003314A3"/>
    <w:rsid w:val="00661971"/>
    <w:rsid w:val="006A5838"/>
    <w:rsid w:val="0072332D"/>
    <w:rsid w:val="007571B0"/>
    <w:rsid w:val="007B5A29"/>
    <w:rsid w:val="00B664CE"/>
    <w:rsid w:val="00DF6351"/>
    <w:rsid w:val="10BB034F"/>
    <w:rsid w:val="17116864"/>
    <w:rsid w:val="76784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szCs w:val="20"/>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pPr>
      <w:spacing w:after="120"/>
    </w:pPr>
    <w:rPr>
      <w:rFonts w:ascii="@微软简标宋" w:hAnsi="@微软简标宋" w:eastAsia="@微软简标宋" w:cs="@微软简标宋"/>
      <w:szCs w:val="24"/>
      <w:lang w:val="zh-CN"/>
    </w:rPr>
  </w:style>
  <w:style w:type="paragraph" w:styleId="3">
    <w:name w:val="Plain Text"/>
    <w:basedOn w:val="1"/>
    <w:link w:val="17"/>
    <w:qFormat/>
    <w:uiPriority w:val="99"/>
    <w:rPr>
      <w:rFonts w:ascii="宋体" w:hAnsi="Courier New" w:eastAsia="宋体" w:cs="Times New Roman"/>
      <w:szCs w:val="22"/>
    </w:rPr>
  </w:style>
  <w:style w:type="paragraph" w:styleId="4">
    <w:name w:val="Date"/>
    <w:basedOn w:val="1"/>
    <w:link w:val="18"/>
    <w:qFormat/>
    <w:uiPriority w:val="0"/>
    <w:rPr>
      <w:rFonts w:ascii="Arial" w:hAnsi="Arial" w:eastAsia="宋体" w:cs="Arial"/>
      <w:b/>
      <w:sz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link w:val="20"/>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正文文本 Char"/>
    <w:basedOn w:val="9"/>
    <w:link w:val="2"/>
    <w:qFormat/>
    <w:uiPriority w:val="0"/>
    <w:rPr>
      <w:rFonts w:ascii="@微软简标宋" w:hAnsi="@微软简标宋" w:eastAsia="@微软简标宋" w:cs="@微软简标宋"/>
      <w:szCs w:val="24"/>
      <w:lang w:val="zh-CN"/>
    </w:rPr>
  </w:style>
  <w:style w:type="paragraph" w:customStyle="1" w:styleId="13">
    <w:name w:val="D&amp;L"/>
    <w:basedOn w:val="6"/>
    <w:qFormat/>
    <w:uiPriority w:val="0"/>
    <w:pPr>
      <w:pBdr>
        <w:bottom w:val="thinThickSmallGap" w:color="auto" w:sz="18" w:space="1"/>
      </w:pBdr>
      <w:adjustRightInd w:val="0"/>
      <w:snapToGrid/>
      <w:spacing w:line="240" w:lineRule="atLeast"/>
    </w:pPr>
    <w:rPr>
      <w:kern w:val="0"/>
      <w:sz w:val="24"/>
      <w:szCs w:val="20"/>
    </w:rPr>
  </w:style>
  <w:style w:type="paragraph" w:styleId="14">
    <w:name w:val="List Paragraph"/>
    <w:basedOn w:val="1"/>
    <w:qFormat/>
    <w:uiPriority w:val="34"/>
    <w:pPr>
      <w:ind w:firstLine="420" w:firstLineChars="200"/>
    </w:pPr>
  </w:style>
  <w:style w:type="paragraph" w:customStyle="1" w:styleId="15">
    <w:name w:val="Table Text"/>
    <w:basedOn w:val="1"/>
    <w:semiHidden/>
    <w:qFormat/>
    <w:uiPriority w:val="0"/>
    <w:rPr>
      <w:rFonts w:ascii="宋体" w:hAnsi="宋体" w:eastAsia="宋体" w:cs="宋体"/>
      <w:sz w:val="24"/>
      <w:szCs w:val="24"/>
    </w:rPr>
  </w:style>
  <w:style w:type="paragraph" w:customStyle="1" w:styleId="1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
    <w:name w:val="纯文本 Char"/>
    <w:basedOn w:val="9"/>
    <w:link w:val="3"/>
    <w:qFormat/>
    <w:uiPriority w:val="99"/>
    <w:rPr>
      <w:rFonts w:ascii="宋体" w:hAnsi="Courier New" w:eastAsia="宋体" w:cs="Times New Roman"/>
    </w:rPr>
  </w:style>
  <w:style w:type="character" w:customStyle="1" w:styleId="18">
    <w:name w:val="日期 Char"/>
    <w:basedOn w:val="9"/>
    <w:link w:val="4"/>
    <w:qFormat/>
    <w:uiPriority w:val="0"/>
    <w:rPr>
      <w:rFonts w:ascii="Arial" w:hAnsi="Arial" w:eastAsia="宋体" w:cs="Arial"/>
      <w:b/>
      <w:sz w:val="28"/>
      <w:szCs w:val="20"/>
    </w:rPr>
  </w:style>
  <w:style w:type="paragraph" w:customStyle="1" w:styleId="19">
    <w:name w:val="Char Char Char Char Char Char Char1 Char"/>
    <w:basedOn w:val="1"/>
    <w:qFormat/>
    <w:uiPriority w:val="0"/>
    <w:rPr>
      <w:rFonts w:ascii="Arial" w:hAnsi="Arial" w:eastAsia="宋体" w:cs="Arial"/>
      <w:sz w:val="24"/>
    </w:rPr>
  </w:style>
  <w:style w:type="character" w:customStyle="1" w:styleId="20">
    <w:name w:val="标题 Char"/>
    <w:basedOn w:val="9"/>
    <w:link w:val="7"/>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360</Words>
  <Characters>363</Characters>
  <Lines>25</Lines>
  <Paragraphs>7</Paragraphs>
  <TotalTime>5</TotalTime>
  <ScaleCrop>false</ScaleCrop>
  <LinksUpToDate>false</LinksUpToDate>
  <CharactersWithSpaces>363</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2026-06-25T08:24:00Z</dcterms:created>
  <dc:creator>Administrator</dc:creator>
  <cp:lastModifiedBy>admin</cp:lastModifiedBy>
  <dcterms:modified xsi:type="dcterms:W3CDTF">2026-07-06T12:36:49Z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0306EE9929B1434F908060C2140C7085</vt:lpwstr>
  </property>
  <property fmtid="{D5CDD505-2E9C-101B-9397-08002B2CF9AE}" pid="4" name="KSOTemplateDocerSaveRecord">
    <vt:lpwstr>eyJoZGlkIjoiNWU0OGVmMTM3OWUzZDU1MTZkYTcwNTY3YWJjZDE1NTYiLCJ1c2VySWQiOiIxNjU2MzE0MSJ9</vt:lpwstr>
  </property>
</Properties>
</file>